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36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响应文件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rPr>
          <w:rFonts w:hint="eastAsia" w:ascii="仿宋" w:hAnsi="仿宋" w:eastAsia="仿宋" w:cs="仿宋"/>
          <w:b/>
          <w:bCs/>
          <w:color w:val="000000"/>
          <w:sz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</w:rPr>
        <w:t>（投标）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pacing w:line="500" w:lineRule="exact"/>
        <w:ind w:left="2882" w:leftChars="684" w:hanging="1446" w:hangingChars="400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雅安市雨城区人民医院金沙分院能力提升（二期）项目电线电缆采购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竞价单位名称：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法定代表人或其委托代理人签字：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 xml:space="preserve">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日期：2024年 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响应函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根据贵公司的“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雅安市雨城区人民医院金沙分院能力提升（二期）项目电线电缆采购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（项目名称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公告，我公司经研究，决定参与本次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，并提交下述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实质性响应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（1）响应函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（2）营业执照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（3）承诺函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（4）法定代表人身份证明（法定代表人参与竞价）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（5）授权委托书（委托代理人参与竞价）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（6）报价清单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（7）相关业绩证明（非实质性响应）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根据此函，我公司承诺如下：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1.我公司已详细审查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竞价文件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要求以及全部参考资料。我公司完全理解并同意放弃对这方面有不明及误解的权利。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2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.我公司同意提供按照贵单位可能要求的与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投标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有关的一切数据或资料。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3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.一旦我公司中标,我公司愿意履行自己在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响应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文件中及合同的全部承诺和责任。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eastAsia="zh-CN"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4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.我公司承诺本次投标文件有效期为开标后</w:t>
      </w:r>
      <w:r>
        <w:rPr>
          <w:rFonts w:hint="eastAsia" w:ascii="仿宋" w:eastAsia="仿宋" w:cs="仿宋"/>
          <w:color w:val="000000"/>
          <w:sz w:val="28"/>
          <w:szCs w:val="28"/>
          <w:u w:val="single"/>
          <w:lang w:bidi="ar-SA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  <w:u w:val="single"/>
          <w:lang w:val="en-US" w:eastAsia="zh-CN" w:bidi="ar-SA"/>
        </w:rPr>
        <w:t>30</w:t>
      </w:r>
      <w:r>
        <w:rPr>
          <w:rFonts w:hint="eastAsia" w:ascii="仿宋" w:eastAsia="仿宋" w:cs="仿宋"/>
          <w:color w:val="000000"/>
          <w:sz w:val="28"/>
          <w:szCs w:val="28"/>
          <w:u w:val="single"/>
          <w:lang w:bidi="ar-SA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天</w:t>
      </w:r>
      <w:r>
        <w:rPr>
          <w:rFonts w:hint="eastAsia" w:ascii="仿宋" w:eastAsia="仿宋" w:cs="仿宋"/>
          <w:color w:val="000000"/>
          <w:sz w:val="28"/>
          <w:szCs w:val="28"/>
          <w:lang w:eastAsia="zh-CN" w:bidi="ar-SA"/>
        </w:rPr>
        <w:t>，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在此期间内我公司将受此约束</w:t>
      </w:r>
      <w:r>
        <w:rPr>
          <w:rFonts w:hint="eastAsia" w:ascii="仿宋" w:eastAsia="仿宋" w:cs="仿宋"/>
          <w:color w:val="000000"/>
          <w:sz w:val="28"/>
          <w:szCs w:val="28"/>
          <w:lang w:eastAsia="zh-CN" w:bidi="ar-SA"/>
        </w:rPr>
        <w:t>。</w:t>
      </w:r>
    </w:p>
    <w:p>
      <w:pPr>
        <w:pStyle w:val="4"/>
        <w:spacing w:line="320" w:lineRule="exact"/>
        <w:ind w:left="0" w:leftChars="0" w:firstLine="560" w:firstLineChars="200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5.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我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公司承诺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在投标有效期内收到中标通知书后，按照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采购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文件要求与采购人签订并履行合同。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6.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我公司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知道并同意:如果接到中标通知书后未按贵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公司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要求的时间签署正式合同或坚持提出附加条件，贵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公司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 xml:space="preserve">有权另选其他中标单位。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480" w:firstLine="720" w:firstLineChars="300"/>
        <w:rPr>
          <w:rFonts w:hint="eastAsia" w:ascii="仿宋" w:hAnsi="仿宋" w:eastAsia="仿宋" w:cs="仿宋"/>
          <w:color w:val="000000"/>
          <w:sz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营业执照</w:t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我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公司对上述承诺的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内容事项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真实性负责，如经查实上述承诺的内容事项存在虚假，将自行承担由此带来的一切后果（如取消投标中标资格、没收保证金、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一年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内禁止参与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贵司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采购投标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活动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等）。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 xml:space="preserve">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因本材料涉及使用项目的特殊属性，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充分理解采购人对项目使用单位的计价拨款或有延迟。因此，双方约定付款时间、金额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及其他付款条件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延迟期不超过90日，期间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须保障项目材料供应。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经营期限：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报价清单</w:t>
      </w:r>
    </w:p>
    <w:tbl>
      <w:tblPr>
        <w:tblStyle w:val="9"/>
        <w:tblpPr w:leftFromText="180" w:rightFromText="180" w:vertAnchor="text" w:horzAnchor="page" w:tblpX="1866" w:tblpY="61"/>
        <w:tblOverlap w:val="never"/>
        <w:tblW w:w="13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500"/>
        <w:gridCol w:w="3640"/>
        <w:gridCol w:w="873"/>
        <w:gridCol w:w="1214"/>
        <w:gridCol w:w="1063"/>
        <w:gridCol w:w="1514"/>
        <w:gridCol w:w="1996"/>
        <w:gridCol w:w="1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雅安市雨城区人民医院金沙分院能力提升（二期）项目电线电缆采购-报价清单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含税到场总价（元）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电力电缆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WDZB-YJY-4x25 +1x16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472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电力电缆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WDZB-YJY-4x35 +1x16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电力电缆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WDZB-YJY-5x16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电力电缆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WDZB-YJY-4x50 +1x25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电力电缆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WDZ-YJY-0.6/1KV-(4x95+1x50)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电力电缆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WDZ-YJY-0.6/1KV-(4x50+1x25）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电力电缆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WDZ-YJY-0.6/1KV-1(5x10)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电力电缆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WDZB-YJY-5x6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电力电缆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WDZ-YJY-0.6/1KV-1(4 x240+1x120）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合计含税到场总价 ;       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3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注：1、本次报价为材料到场固定含税单价，包含但不限于材料费、上车费、运输费、运输损耗、税金等费用，以上数量为暂估量，以实际供货为准，2、税费（增值税）按税务机关核定税率单独计算，一票制，税率13%。3、采取一次性不可更改的报价方式报价。4、付款方式：月付97%,3%的质保金。质保期：一年。5.送货地点：雅安市雨城区。6、质量标准：符合国家标准要求，并达到检验合格标准。满足项目使用要求。出具相关检测报告和产品合格证。7、最高限价（含税）：600000.00元。竞价单位自主报价，投标报价不得超过最高限价。超过最高限价,其响应文件按无效处理。8、报价必须按照采购人提供的报价清单及其附件要求报价，竞价单位私自变更内容，甲方可有权拒绝（甲方认可的除外），如规格型号有异议，请在备注栏备注。9、铜价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价：（68720.00/吨）(2024年2月27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日) （国标）。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供应商名称：</w:t>
            </w:r>
          </w:p>
        </w:tc>
        <w:tc>
          <w:tcPr>
            <w:tcW w:w="7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联系人；                    联系电话：</w:t>
            </w:r>
          </w:p>
        </w:tc>
      </w:tr>
    </w:tbl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相关业绩证明（若有）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5E2A3D"/>
    <w:rsid w:val="03F01582"/>
    <w:rsid w:val="05B576FE"/>
    <w:rsid w:val="080A5EBF"/>
    <w:rsid w:val="087F77D5"/>
    <w:rsid w:val="09596E65"/>
    <w:rsid w:val="095C7502"/>
    <w:rsid w:val="0A841672"/>
    <w:rsid w:val="0AFF049B"/>
    <w:rsid w:val="0D097E4B"/>
    <w:rsid w:val="0D7B4A84"/>
    <w:rsid w:val="0E1813AB"/>
    <w:rsid w:val="0F0D3D06"/>
    <w:rsid w:val="0F721BE3"/>
    <w:rsid w:val="116952AA"/>
    <w:rsid w:val="1258302D"/>
    <w:rsid w:val="130A724C"/>
    <w:rsid w:val="13487BD8"/>
    <w:rsid w:val="139E7D14"/>
    <w:rsid w:val="148F169E"/>
    <w:rsid w:val="166F2E95"/>
    <w:rsid w:val="18E16A46"/>
    <w:rsid w:val="1988706A"/>
    <w:rsid w:val="1B9C7A46"/>
    <w:rsid w:val="1BD35136"/>
    <w:rsid w:val="1D5341BB"/>
    <w:rsid w:val="1DD63602"/>
    <w:rsid w:val="1E812AC2"/>
    <w:rsid w:val="1FE30A2F"/>
    <w:rsid w:val="231F1C62"/>
    <w:rsid w:val="245E155B"/>
    <w:rsid w:val="255031BD"/>
    <w:rsid w:val="259F1C54"/>
    <w:rsid w:val="2CB15DF8"/>
    <w:rsid w:val="31BA3E7A"/>
    <w:rsid w:val="32CC7B0B"/>
    <w:rsid w:val="331C5269"/>
    <w:rsid w:val="336743E3"/>
    <w:rsid w:val="339F7DC0"/>
    <w:rsid w:val="345D1D21"/>
    <w:rsid w:val="359B0B00"/>
    <w:rsid w:val="35F9471D"/>
    <w:rsid w:val="366B5955"/>
    <w:rsid w:val="36BB69D9"/>
    <w:rsid w:val="38804A9B"/>
    <w:rsid w:val="39CC5062"/>
    <w:rsid w:val="3A324A06"/>
    <w:rsid w:val="3A501E4E"/>
    <w:rsid w:val="3BB63F22"/>
    <w:rsid w:val="3D382B00"/>
    <w:rsid w:val="3EE20F3A"/>
    <w:rsid w:val="3FCD4CB7"/>
    <w:rsid w:val="47521611"/>
    <w:rsid w:val="48135E6A"/>
    <w:rsid w:val="4A082885"/>
    <w:rsid w:val="4C270DF4"/>
    <w:rsid w:val="4E6C5236"/>
    <w:rsid w:val="4FB47373"/>
    <w:rsid w:val="51077659"/>
    <w:rsid w:val="53514ABF"/>
    <w:rsid w:val="54C82BE5"/>
    <w:rsid w:val="56382375"/>
    <w:rsid w:val="58030690"/>
    <w:rsid w:val="5CB511D7"/>
    <w:rsid w:val="61C02FC3"/>
    <w:rsid w:val="6441217E"/>
    <w:rsid w:val="65D22501"/>
    <w:rsid w:val="660F6CFC"/>
    <w:rsid w:val="680B5046"/>
    <w:rsid w:val="69593F14"/>
    <w:rsid w:val="69720D4B"/>
    <w:rsid w:val="6A684E1D"/>
    <w:rsid w:val="704B4AC8"/>
    <w:rsid w:val="729554F3"/>
    <w:rsid w:val="75F56D87"/>
    <w:rsid w:val="784726BD"/>
    <w:rsid w:val="78B54D65"/>
    <w:rsid w:val="7AE1009A"/>
    <w:rsid w:val="7B330CC4"/>
    <w:rsid w:val="7B651D50"/>
    <w:rsid w:val="7BB93E9E"/>
    <w:rsid w:val="7EA7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Body Text First Indent 2"/>
    <w:basedOn w:val="3"/>
    <w:qFormat/>
    <w:uiPriority w:val="0"/>
    <w:pPr>
      <w:ind w:firstLine="200" w:firstLineChars="200"/>
    </w:pPr>
  </w:style>
  <w:style w:type="character" w:styleId="11">
    <w:name w:val="page number"/>
    <w:qFormat/>
    <w:uiPriority w:val="0"/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10"/>
    <w:link w:val="6"/>
    <w:semiHidden/>
    <w:qFormat/>
    <w:uiPriority w:val="99"/>
    <w:rPr>
      <w:sz w:val="18"/>
      <w:szCs w:val="18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5">
    <w:name w:val="font1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5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7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8">
    <w:name w:val="font61"/>
    <w:basedOn w:val="10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9">
    <w:name w:val="font4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8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0</TotalTime>
  <ScaleCrop>false</ScaleCrop>
  <LinksUpToDate>false</LinksUpToDate>
  <CharactersWithSpaces>1301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2024-02-27T03:30:52Z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9ACD60CD3BDB44B195A45B7C93ED590B_13</vt:lpwstr>
  </property>
</Properties>
</file>