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花襄·里项目镀锌止水钢板采购内容</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FF0000"/>
                <w:sz w:val="24"/>
                <w:u w:val="single"/>
                <w:lang w:val="en-US" w:eastAsia="zh-CN"/>
              </w:rPr>
              <w:t>花襄·里镀锌止水钢板采购内容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李工</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18783538880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lang w:eastAsia="zh-CN"/>
              </w:rPr>
              <w:t>项目名称：</w:t>
            </w:r>
            <w:r>
              <w:rPr>
                <w:rFonts w:hint="eastAsia" w:ascii="宋体" w:hAnsi="宋体"/>
                <w:b w:val="0"/>
                <w:bCs/>
                <w:color w:val="000000"/>
                <w:szCs w:val="21"/>
                <w:lang w:val="en-US" w:eastAsia="zh-CN"/>
              </w:rPr>
              <w:t>花襄·里项目，项目地址：雅安市汉源县九襄镇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szCs w:val="21"/>
              </w:rPr>
            </w:pPr>
            <w:r>
              <w:rPr>
                <w:rFonts w:hint="eastAsia" w:ascii="宋体" w:hAnsi="宋体"/>
                <w:b w:val="0"/>
                <w:bCs/>
                <w:color w:val="000000"/>
                <w:szCs w:val="21"/>
                <w:lang w:eastAsia="zh-CN"/>
              </w:rPr>
              <w:t>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365天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符合国家现行质量标准和行业标准。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numPr>
                <w:ilvl w:val="0"/>
                <w:numId w:val="2"/>
              </w:numPr>
              <w:spacing w:line="500" w:lineRule="exact"/>
              <w:jc w:val="left"/>
              <w:rPr>
                <w:rFonts w:hint="eastAsia"/>
                <w:color w:val="FF0000"/>
                <w:lang w:val="en-US" w:eastAsia="zh-CN"/>
              </w:rPr>
            </w:pPr>
            <w:r>
              <w:rPr>
                <w:rFonts w:hint="eastAsia"/>
              </w:rPr>
              <w:t>（一）资质</w:t>
            </w:r>
            <w:r>
              <w:rPr>
                <w:rFonts w:hint="eastAsia"/>
                <w:lang w:val="en-US" w:eastAsia="zh-CN"/>
              </w:rPr>
              <w:t>要求</w:t>
            </w:r>
            <w:r>
              <w:rPr>
                <w:rFonts w:hint="eastAsia"/>
              </w:rPr>
              <w:t>：</w:t>
            </w:r>
            <w:r>
              <w:rPr>
                <w:rFonts w:hint="eastAsia"/>
                <w:color w:val="FF0000"/>
                <w:lang w:val="en-US" w:eastAsia="zh-CN"/>
              </w:rPr>
              <w:t>营业执照具备本次采购相关的资质内容</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FF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0</w:t>
            </w:r>
            <w:r>
              <w:rPr>
                <w:rFonts w:hint="eastAsia" w:ascii="宋体" w:hAnsi="宋体"/>
                <w:b/>
                <w:bCs w:val="0"/>
                <w:color w:val="FF0000"/>
                <w:szCs w:val="21"/>
                <w:lang w:val="en-US" w:eastAsia="zh-CN"/>
              </w:rPr>
              <w:t>3</w:t>
            </w:r>
            <w:r>
              <w:rPr>
                <w:rFonts w:hint="eastAsia" w:ascii="宋体" w:hAnsi="宋体"/>
                <w:b/>
                <w:bCs w:val="0"/>
                <w:color w:val="000000"/>
                <w:szCs w:val="21"/>
              </w:rPr>
              <w:t>日—</w:t>
            </w:r>
            <w:r>
              <w:rPr>
                <w:rFonts w:hint="eastAsia" w:ascii="宋体" w:hAnsi="宋体"/>
                <w:b/>
                <w:bCs w:val="0"/>
                <w:color w:val="FF0000"/>
                <w:szCs w:val="21"/>
                <w:lang w:val="en-US" w:eastAsia="zh-CN"/>
              </w:rPr>
              <w:t>2023</w:t>
            </w:r>
            <w:r>
              <w:rPr>
                <w:rFonts w:hint="eastAsia" w:ascii="宋体" w:hAnsi="宋体"/>
                <w:b/>
                <w:bCs w:val="0"/>
                <w:color w:val="000000"/>
                <w:szCs w:val="21"/>
              </w:rPr>
              <w:t>年</w:t>
            </w:r>
            <w:r>
              <w:rPr>
                <w:rFonts w:hint="eastAsia" w:ascii="宋体" w:hAnsi="宋体"/>
                <w:b/>
                <w:bCs w:val="0"/>
                <w:color w:val="FF0000"/>
                <w:szCs w:val="21"/>
                <w:lang w:val="en-US" w:eastAsia="zh-CN"/>
              </w:rPr>
              <w:t>11</w:t>
            </w:r>
            <w:r>
              <w:rPr>
                <w:rFonts w:hint="eastAsia" w:ascii="宋体" w:hAnsi="宋体"/>
                <w:b/>
                <w:bCs w:val="0"/>
                <w:color w:val="000000"/>
                <w:szCs w:val="21"/>
              </w:rPr>
              <w:t>月</w:t>
            </w:r>
            <w:r>
              <w:rPr>
                <w:rFonts w:hint="eastAsia" w:ascii="宋体" w:hAnsi="宋体"/>
                <w:b/>
                <w:bCs w:val="0"/>
                <w:color w:val="FF0000"/>
                <w:szCs w:val="21"/>
                <w:lang w:val="en-US" w:eastAsia="zh-CN"/>
              </w:rPr>
              <w:t>05</w:t>
            </w:r>
            <w:r>
              <w:rPr>
                <w:rFonts w:hint="eastAsia" w:ascii="宋体" w:hAnsi="宋体"/>
                <w:b/>
                <w:bCs w:val="0"/>
                <w:color w:val="000000"/>
                <w:szCs w:val="21"/>
              </w:rPr>
              <w:t>日上午9:00-12：00；下午2：30-18：00（北京时间）。</w:t>
            </w:r>
            <w:r>
              <w:rPr>
                <w:rFonts w:hint="eastAsia" w:ascii="宋体" w:hAnsi="宋体"/>
                <w:b/>
                <w:bCs w:val="0"/>
                <w:color w:val="FF0000"/>
                <w:szCs w:val="21"/>
                <w:lang w:eastAsia="zh-CN"/>
              </w:rPr>
              <w:t>（</w:t>
            </w:r>
            <w:r>
              <w:rPr>
                <w:rFonts w:hint="eastAsia" w:ascii="宋体" w:hAnsi="宋体"/>
                <w:b/>
                <w:bCs w:val="0"/>
                <w:color w:val="FF0000"/>
                <w:szCs w:val="21"/>
                <w:lang w:val="en-US" w:eastAsia="zh-CN"/>
              </w:rPr>
              <w:t>注：竞价函发送时间不少于3日，其中至少包含一个工作日，此条备注在编制时应删除</w:t>
            </w:r>
            <w:r>
              <w:rPr>
                <w:rFonts w:hint="eastAsia" w:ascii="宋体" w:hAnsi="宋体"/>
                <w:b/>
                <w:bCs w:val="0"/>
                <w:color w:val="FF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b w:val="0"/>
                <w:bCs/>
                <w:color w:val="FF0000"/>
                <w:szCs w:val="21"/>
                <w:u w:val="single"/>
                <w:lang w:val="en-US" w:eastAsia="zh-CN"/>
              </w:rPr>
              <w:t>373035.6</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增值税税率不低于：</w:t>
            </w:r>
            <w:r>
              <w:rPr>
                <w:rFonts w:hint="eastAsia" w:ascii="宋体" w:hAnsi="宋体"/>
                <w:b/>
                <w:bCs w:val="0"/>
                <w:color w:val="000000"/>
                <w:szCs w:val="21"/>
                <w:u w:val="single"/>
                <w:lang w:val="en-US" w:eastAsia="zh-CN"/>
              </w:rPr>
              <w:t xml:space="preserve"> 材料采购为13% ，</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w:t>
            </w:r>
            <w:r>
              <w:rPr>
                <w:rFonts w:hint="eastAsia" w:ascii="宋体" w:hAnsi="宋体"/>
                <w:b/>
                <w:color w:val="000000"/>
                <w:szCs w:val="21"/>
              </w:rPr>
              <w:t>营业执照、</w:t>
            </w:r>
            <w:r>
              <w:rPr>
                <w:rFonts w:hint="eastAsia" w:ascii="宋体" w:hAnsi="宋体" w:cs="Times New Roman"/>
                <w:b/>
                <w:bCs w:val="0"/>
                <w:color w:val="auto"/>
                <w:szCs w:val="21"/>
                <w:lang w:val="en-US" w:eastAsia="zh-CN"/>
              </w:rPr>
              <w:t>4、法定代表人身份证明或授权委托书；5、承诺函；6、竞价单位认为需要提交的其他文件。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numPr>
                <w:ilvl w:val="0"/>
                <w:numId w:val="3"/>
              </w:num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numPr>
                <w:ilvl w:val="0"/>
                <w:numId w:val="0"/>
              </w:num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2023</w:t>
            </w:r>
            <w:r>
              <w:rPr>
                <w:rFonts w:hint="eastAsia"/>
              </w:rPr>
              <w:t>年</w:t>
            </w:r>
            <w:r>
              <w:rPr>
                <w:rFonts w:hint="eastAsia"/>
                <w:color w:val="FF0000"/>
                <w:lang w:val="en-US" w:eastAsia="zh-CN"/>
              </w:rPr>
              <w:t>11</w:t>
            </w:r>
            <w:r>
              <w:rPr>
                <w:rFonts w:hint="eastAsia"/>
              </w:rPr>
              <w:t>月</w:t>
            </w:r>
            <w:r>
              <w:rPr>
                <w:rFonts w:hint="eastAsia"/>
                <w:color w:val="FF0000"/>
                <w:lang w:val="en-US" w:eastAsia="zh-CN"/>
              </w:rPr>
              <w:t>06</w:t>
            </w:r>
            <w:r>
              <w:rPr>
                <w:rFonts w:hint="eastAsia"/>
              </w:rPr>
              <w:t>日</w:t>
            </w:r>
            <w:r>
              <w:rPr>
                <w:rFonts w:hint="eastAsia"/>
                <w:color w:val="FF0000"/>
                <w:lang w:val="en-US" w:eastAsia="zh-CN"/>
              </w:rPr>
              <w:t>09</w:t>
            </w:r>
            <w:r>
              <w:rPr>
                <w:rFonts w:hint="eastAsia"/>
              </w:rPr>
              <w:t>时</w:t>
            </w:r>
            <w:r>
              <w:rPr>
                <w:rFonts w:hint="eastAsia"/>
                <w:color w:val="FF0000"/>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w:t>
            </w:r>
            <w:r>
              <w:rPr>
                <w:rFonts w:hint="eastAsia"/>
                <w:color w:val="FF0000"/>
                <w:u w:val="single"/>
                <w:lang w:val="en-US" w:eastAsia="zh-CN"/>
              </w:rPr>
              <w:t>花襄·里</w:t>
            </w:r>
            <w:r>
              <w:rPr>
                <w:rFonts w:hint="eastAsia"/>
                <w:lang w:val="en-US" w:eastAsia="zh-CN"/>
              </w:rPr>
              <w:t>项目</w:t>
            </w:r>
            <w:r>
              <w:rPr>
                <w:rFonts w:hint="eastAsia"/>
              </w:rPr>
              <w:t>，</w:t>
            </w:r>
            <w:r>
              <w:rPr>
                <w:rFonts w:hint="eastAsia"/>
                <w:lang w:val="en-US" w:eastAsia="zh-CN"/>
              </w:rPr>
              <w:t>九襄镇交通西路汉源一中福芝林大药房（九襄店）4楼，联系人及电话：李工</w:t>
            </w:r>
            <w:r>
              <w:rPr>
                <w:rFonts w:hint="eastAsia" w:ascii="宋体" w:hAnsi="宋体"/>
                <w:b w:val="0"/>
                <w:bCs/>
                <w:color w:val="000000"/>
                <w:szCs w:val="21"/>
                <w:lang w:val="en-US" w:eastAsia="zh-CN"/>
              </w:rPr>
              <w:t>18783538880</w:t>
            </w:r>
            <w:r>
              <w:rPr>
                <w:rFonts w:hint="eastAsia"/>
                <w:lang w:val="en-US" w:eastAsia="zh-CN"/>
              </w:rPr>
              <w:t>。</w:t>
            </w:r>
          </w:p>
          <w:p>
            <w:pPr>
              <w:numPr>
                <w:ilvl w:val="0"/>
                <w:numId w:val="0"/>
              </w:numPr>
              <w:rPr>
                <w:rFonts w:hint="eastAsia"/>
                <w:lang w:val="en-US" w:eastAsia="zh-CN"/>
              </w:rPr>
            </w:pP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每月按供货金额百分之八十进行支付，供货完毕后支付至所有金额100%。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val="en-US" w:eastAsia="zh-CN"/>
        </w:rPr>
        <w:t>花襄·里</w:t>
      </w:r>
      <w:r>
        <w:rPr>
          <w:rFonts w:hint="eastAsia" w:ascii="黑体" w:hAnsi="黑体" w:eastAsia="黑体"/>
          <w:color w:val="000000"/>
          <w:sz w:val="36"/>
          <w:lang w:eastAsia="zh-CN"/>
        </w:rPr>
        <w:t>项目</w:t>
      </w:r>
      <w:r>
        <w:rPr>
          <w:rFonts w:hint="eastAsia" w:ascii="黑体" w:hAnsi="黑体" w:eastAsia="黑体"/>
          <w:color w:val="000000"/>
          <w:sz w:val="36"/>
          <w:lang w:val="en-US" w:eastAsia="zh-CN"/>
        </w:rPr>
        <w:t>镀锌止水钢板</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265249"/>
      <w:bookmarkStart w:id="3" w:name="_Toc282613285"/>
      <w:bookmarkStart w:id="4" w:name="_Toc132111898"/>
      <w:bookmarkStart w:id="5" w:name="_Toc131305915"/>
      <w:bookmarkStart w:id="6" w:name="_Toc132523466"/>
      <w:bookmarkStart w:id="7" w:name="_Toc132523737"/>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（注：据实调整，此项表述应与竞价函前述对应项同步进行调整，前后表述应一致）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56059747"/>
      <w:bookmarkStart w:id="9" w:name="_Toc282613287"/>
      <w:bookmarkStart w:id="10" w:name="_Toc138581133"/>
      <w:bookmarkStart w:id="11" w:name="_Toc134953396"/>
      <w:bookmarkStart w:id="12" w:name="_Toc152748104"/>
      <w:bookmarkStart w:id="13" w:name="_Toc138581214"/>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ascii="Calibri" w:hAnsi="Calibri" w:cs="Times New Roman"/>
          <w:kern w:val="2"/>
          <w:sz w:val="21"/>
          <w:szCs w:val="24"/>
          <w:lang w:val="en-US" w:eastAsia="zh-CN" w:bidi="ar-SA"/>
        </w:rPr>
        <w:t>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83407"/>
    <w:multiLevelType w:val="singleLevel"/>
    <w:tmpl w:val="9B983407"/>
    <w:lvl w:ilvl="0" w:tentative="0">
      <w:start w:val="1"/>
      <w:numFmt w:val="decimal"/>
      <w:suff w:val="nothing"/>
      <w:lvlText w:val="%1、"/>
      <w:lvlJc w:val="left"/>
    </w:lvl>
  </w:abstractNum>
  <w:abstractNum w:abstractNumId="1">
    <w:nsid w:val="EDC75B8A"/>
    <w:multiLevelType w:val="singleLevel"/>
    <w:tmpl w:val="EDC75B8A"/>
    <w:lvl w:ilvl="0" w:tentative="0">
      <w:start w:val="1"/>
      <w:numFmt w:val="chineseCounting"/>
      <w:suff w:val="nothing"/>
      <w:lvlText w:val="（%1）"/>
      <w:lvlJc w:val="left"/>
      <w:rPr>
        <w:rFonts w:hint="eastAsia"/>
      </w:rPr>
    </w:lvl>
  </w:abstractNum>
  <w:abstractNum w:abstractNumId="2">
    <w:nsid w:val="F8EF30A5"/>
    <w:multiLevelType w:val="singleLevel"/>
    <w:tmpl w:val="F8EF30A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ZjI0YTI5YWI1MzViMTViYWFhN2YzMDQ1NTQyNGI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5672DA2"/>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4F142A"/>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3FAE22A9"/>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5</TotalTime>
  <ScaleCrop>false</ScaleCrop>
  <LinksUpToDate>false</LinksUpToDate>
  <CharactersWithSpaces>6203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空格情调</cp:lastModifiedBy>
  <cp:lastPrinted>2023-06-09T07:40:00Z</cp:lastPrinted>
  <dcterms:modified xsi:type="dcterms:W3CDTF">2023-11-02T08:18:06Z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