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>函</w:t>
      </w:r>
    </w:p>
    <w:p>
      <w:pPr>
        <w:pStyle w:val="6"/>
        <w:tabs>
          <w:tab w:val="left" w:pos="2460"/>
        </w:tabs>
        <w:jc w:val="center"/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</w:p>
    <w:p>
      <w:pPr>
        <w:pStyle w:val="6"/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jc w:val="center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城投公司办公楼食堂米面油粮竞价（第三次）</w:t>
      </w:r>
    </w:p>
    <w:p>
      <w:pPr>
        <w:ind w:firstLine="1422" w:firstLineChars="395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bookmarkEnd w:id="0"/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2023年6月</w:t>
      </w:r>
    </w:p>
    <w:p>
      <w:pPr>
        <w:ind w:firstLine="3960" w:firstLineChars="900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函</w:t>
      </w:r>
    </w:p>
    <w:tbl>
      <w:tblPr>
        <w:tblStyle w:val="22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米面油粮竞价（第三次）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吴月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询价项目范围、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1.米面粮油等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2.报价为包干价，报价包含服务费、税费（增值税）、运输费等一切费用，不再额外增加其他费用；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3.服务期内供货价不得高于投标时最终报价；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4.原则上应在我方提出配送要求后，在我方要求时间内（原则在30分钟内）送达，无故超出时间3次，我方有权单方解除合同。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增值税普通及专用发票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28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6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30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时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，报价必须按照甲方提供的询价函及其附件要求报价，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乙方单位私自变更内容，甲方有权拒绝。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组成：（1）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竞价函及其附件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；（2）营业执照盖鲜章；（3）法人授权书；（4）法人身份证复印件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；（5）授权委托人身份证复印件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）；</w:t>
            </w:r>
          </w:p>
          <w:p>
            <w:pPr>
              <w:spacing w:line="360" w:lineRule="auto"/>
              <w:rPr>
                <w:rFonts w:hint="default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文件应密封并加盖投标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采用经评审最低价办法，评审价以不含税总价为基数。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2023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6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30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15：00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（四川省雅安市雨城区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姚桥新区和兴街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1号1楼物业办公室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具体以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合同约定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为准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米面油粮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，现诚邀遵守中国有关法律、法规，且具有良好的商业信誉及服务能力的单位参加，项目详情如下：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报价表</w:t>
      </w:r>
    </w:p>
    <w:tbl>
      <w:tblPr>
        <w:tblStyle w:val="22"/>
        <w:tblpPr w:leftFromText="180" w:rightFromText="180" w:vertAnchor="text" w:horzAnchor="margin" w:tblpXSpec="center" w:tblpY="365"/>
        <w:tblW w:w="11296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09"/>
        <w:gridCol w:w="2856"/>
        <w:gridCol w:w="1567"/>
        <w:gridCol w:w="1296"/>
        <w:gridCol w:w="1213"/>
        <w:gridCol w:w="138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5" w:type="dxa"/>
            <w:vMerge w:val="restart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询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价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项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目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内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容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报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价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清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单</w:t>
            </w:r>
          </w:p>
        </w:tc>
        <w:tc>
          <w:tcPr>
            <w:tcW w:w="709" w:type="dxa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序号</w:t>
            </w:r>
          </w:p>
        </w:tc>
        <w:tc>
          <w:tcPr>
            <w:tcW w:w="2856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产品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规格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数量</w:t>
            </w:r>
          </w:p>
        </w:tc>
        <w:tc>
          <w:tcPr>
            <w:tcW w:w="1213" w:type="dxa"/>
            <w:vAlign w:val="center"/>
          </w:tcPr>
          <w:p>
            <w:pPr>
              <w:jc w:val="both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不含税</w:t>
            </w:r>
            <w:r>
              <w:rPr>
                <w:rFonts w:hint="eastAsia"/>
                <w:b/>
              </w:rPr>
              <w:t>报价（</w:t>
            </w:r>
            <w:r>
              <w:rPr>
                <w:rFonts w:hint="eastAsia"/>
                <w:b/>
                <w:lang w:val="en-US" w:eastAsia="zh-CN"/>
              </w:rPr>
              <w:t>单价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eastAsia="zh-CN"/>
              </w:rPr>
              <w:t>税率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5" w:type="dxa"/>
            <w:vMerge w:val="continue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6" w:type="dxa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松花江大米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（自留地）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25kg/袋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1213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5" w:type="dxa"/>
            <w:vMerge w:val="continue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56" w:type="dxa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清油（金龙鱼）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5L/桶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1213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55" w:type="dxa"/>
            <w:vMerge w:val="continue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56" w:type="dxa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大豆油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（金龙鱼）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10L/桶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213" w:type="dxa"/>
            <w:vAlign w:val="top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82" w:type="dxa"/>
            <w:vAlign w:val="top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5" w:type="dxa"/>
            <w:vMerge w:val="continue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856" w:type="dxa"/>
            <w:vAlign w:val="center"/>
          </w:tcPr>
          <w:p>
            <w:pPr>
              <w:spacing w:line="500" w:lineRule="exact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糯米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25kg/袋</w:t>
            </w:r>
          </w:p>
        </w:tc>
        <w:tc>
          <w:tcPr>
            <w:tcW w:w="12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21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5" w:type="dxa"/>
            <w:vMerge w:val="continue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856" w:type="dxa"/>
            <w:vAlign w:val="center"/>
          </w:tcPr>
          <w:p>
            <w:pPr>
              <w:spacing w:line="500" w:lineRule="exact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邑和祥浓香小榨菜籽油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27.17L/桶</w:t>
            </w:r>
          </w:p>
        </w:tc>
        <w:tc>
          <w:tcPr>
            <w:tcW w:w="12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60</w:t>
            </w:r>
          </w:p>
        </w:tc>
        <w:tc>
          <w:tcPr>
            <w:tcW w:w="121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5" w:type="dxa"/>
            <w:vMerge w:val="continue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ind w:firstLine="200" w:firstLineChars="100"/>
              <w:jc w:val="both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856" w:type="dxa"/>
            <w:vAlign w:val="center"/>
          </w:tcPr>
          <w:p>
            <w:pPr>
              <w:spacing w:line="500" w:lineRule="exact"/>
              <w:rPr>
                <w:rFonts w:hint="default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面粉（黑马）</w:t>
            </w:r>
          </w:p>
        </w:tc>
        <w:tc>
          <w:tcPr>
            <w:tcW w:w="1567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25kg/袋</w:t>
            </w:r>
          </w:p>
        </w:tc>
        <w:tc>
          <w:tcPr>
            <w:tcW w:w="129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21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55" w:type="dxa"/>
            <w:vMerge w:val="continue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总价</w:t>
            </w:r>
          </w:p>
        </w:tc>
        <w:tc>
          <w:tcPr>
            <w:tcW w:w="2856" w:type="dxa"/>
            <w:vAlign w:val="center"/>
          </w:tcPr>
          <w:p>
            <w:pPr>
              <w:spacing w:line="500" w:lineRule="exac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96" w:type="dxa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213" w:type="dxa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5" w:type="dxa"/>
            <w:vMerge w:val="continue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9732" w:type="dxa"/>
            <w:gridSpan w:val="6"/>
            <w:vAlign w:val="top"/>
          </w:tcPr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此价格为参考价，为确保统一性，报价应报收到询价函当天价格。</w:t>
            </w:r>
          </w:p>
          <w:p>
            <w:pPr>
              <w:spacing w:line="500" w:lineRule="exact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2.报价为包干价，包含服务费、税费（增值税）、运输费等一切费用，不再额外增加其他费用。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1296" w:type="dxa"/>
            <w:gridSpan w:val="8"/>
            <w:vAlign w:val="top"/>
          </w:tcPr>
          <w:p>
            <w:pPr>
              <w:spacing w:line="500" w:lineRule="exact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报价单位名称（盖章）：</w:t>
            </w:r>
          </w:p>
          <w:p>
            <w:pPr>
              <w:spacing w:line="500" w:lineRule="exac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法定代表人或授权代表（签字）：　　　　　　　　　　　　　　　　　　　　　　　　　　</w:t>
            </w:r>
          </w:p>
          <w:p>
            <w:pPr>
              <w:tabs>
                <w:tab w:val="left" w:pos="571"/>
              </w:tabs>
              <w:spacing w:line="500" w:lineRule="exact"/>
              <w:rPr>
                <w:rFonts w:hint="eastAsia"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日期: 　　　　　　　　　　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：1.服务期内供货价不得高于投标时最终报价。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2.配送时需按照询价清单上物品的品牌及规格进行配送，若收货时发现与订购商品规格及价格不符，我方有权拒绝收货。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3.包含但不限于以上种类,未包含在报价单中的其他耗材，费用不高于市场价，并由我公司自主决定是否在报价单位购买。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4.报价时需将此《竞价函》所有内容及相关附件一并按要求密封后提交我公司。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JjYzUzNjM4ZjM2MjhiYWM4YTAzMjlmOGViMjAifQ=="/>
  </w:docVars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60350B"/>
    <w:rsid w:val="038A635A"/>
    <w:rsid w:val="05CB0F64"/>
    <w:rsid w:val="09D70151"/>
    <w:rsid w:val="0C981349"/>
    <w:rsid w:val="0FD07A86"/>
    <w:rsid w:val="0FD74DED"/>
    <w:rsid w:val="100A5545"/>
    <w:rsid w:val="10AD6AAB"/>
    <w:rsid w:val="10EA595B"/>
    <w:rsid w:val="110A1AD5"/>
    <w:rsid w:val="11E50982"/>
    <w:rsid w:val="12FC4EED"/>
    <w:rsid w:val="13383ED1"/>
    <w:rsid w:val="15AE2336"/>
    <w:rsid w:val="16831E2E"/>
    <w:rsid w:val="180541EC"/>
    <w:rsid w:val="197C5011"/>
    <w:rsid w:val="1A7B08FD"/>
    <w:rsid w:val="1BF61334"/>
    <w:rsid w:val="1CEA1803"/>
    <w:rsid w:val="21BA7469"/>
    <w:rsid w:val="243C11B9"/>
    <w:rsid w:val="24E87A6B"/>
    <w:rsid w:val="25495507"/>
    <w:rsid w:val="258260AB"/>
    <w:rsid w:val="274C096F"/>
    <w:rsid w:val="2AF75BDF"/>
    <w:rsid w:val="2BB626E2"/>
    <w:rsid w:val="2E2C0D2A"/>
    <w:rsid w:val="2EFD1974"/>
    <w:rsid w:val="31D240C7"/>
    <w:rsid w:val="3251489B"/>
    <w:rsid w:val="34545E59"/>
    <w:rsid w:val="373E6C5C"/>
    <w:rsid w:val="376C7BDD"/>
    <w:rsid w:val="37F66F05"/>
    <w:rsid w:val="37FC514B"/>
    <w:rsid w:val="38BA649F"/>
    <w:rsid w:val="391A3A3A"/>
    <w:rsid w:val="395D152B"/>
    <w:rsid w:val="3A4E361B"/>
    <w:rsid w:val="3AAC6F1F"/>
    <w:rsid w:val="3C03323D"/>
    <w:rsid w:val="3CA34155"/>
    <w:rsid w:val="3DAD4B33"/>
    <w:rsid w:val="40BD4320"/>
    <w:rsid w:val="43532873"/>
    <w:rsid w:val="436C0B16"/>
    <w:rsid w:val="438D76F7"/>
    <w:rsid w:val="43B1111A"/>
    <w:rsid w:val="44A92799"/>
    <w:rsid w:val="44CE1B20"/>
    <w:rsid w:val="45D64A5B"/>
    <w:rsid w:val="46866FE1"/>
    <w:rsid w:val="495A5744"/>
    <w:rsid w:val="49773857"/>
    <w:rsid w:val="4A64571C"/>
    <w:rsid w:val="4AE27FBA"/>
    <w:rsid w:val="4BAC0EB9"/>
    <w:rsid w:val="4BDE27EB"/>
    <w:rsid w:val="4D1218FC"/>
    <w:rsid w:val="4F62413A"/>
    <w:rsid w:val="56C37A5C"/>
    <w:rsid w:val="56ED3C7E"/>
    <w:rsid w:val="585C022D"/>
    <w:rsid w:val="59C4289D"/>
    <w:rsid w:val="5A6E64A5"/>
    <w:rsid w:val="5B3A0472"/>
    <w:rsid w:val="5B996F79"/>
    <w:rsid w:val="5BFE271B"/>
    <w:rsid w:val="5C41389F"/>
    <w:rsid w:val="5C5F632A"/>
    <w:rsid w:val="5C624BD9"/>
    <w:rsid w:val="5F8A26CE"/>
    <w:rsid w:val="625E20AA"/>
    <w:rsid w:val="66D607EF"/>
    <w:rsid w:val="671477D9"/>
    <w:rsid w:val="681273DF"/>
    <w:rsid w:val="69CA0E37"/>
    <w:rsid w:val="6B7D454F"/>
    <w:rsid w:val="6D850292"/>
    <w:rsid w:val="6E292E16"/>
    <w:rsid w:val="6E675169"/>
    <w:rsid w:val="6F1A10C8"/>
    <w:rsid w:val="7217328A"/>
    <w:rsid w:val="7268538D"/>
    <w:rsid w:val="72904241"/>
    <w:rsid w:val="732C48FD"/>
    <w:rsid w:val="735F03F1"/>
    <w:rsid w:val="761C45F1"/>
    <w:rsid w:val="76CE40CA"/>
    <w:rsid w:val="7728448C"/>
    <w:rsid w:val="78102BB8"/>
    <w:rsid w:val="78F85C68"/>
    <w:rsid w:val="796224C0"/>
    <w:rsid w:val="7A0D0355"/>
    <w:rsid w:val="7CD21A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4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7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character" w:styleId="18">
    <w:name w:val="page number"/>
    <w:basedOn w:val="19"/>
    <w:qFormat/>
    <w:uiPriority w:val="0"/>
  </w:style>
  <w:style w:type="character" w:customStyle="1" w:styleId="19">
    <w:name w:val="默认段落字体1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yperlink"/>
    <w:qFormat/>
    <w:uiPriority w:val="99"/>
    <w:rPr>
      <w:color w:val="0000FF"/>
      <w:u w:val="single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3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3</Pages>
  <Words>1439</Words>
  <Characters>1521</Characters>
  <Lines>17</Lines>
  <Paragraphs>4</Paragraphs>
  <ScaleCrop>false</ScaleCrop>
  <LinksUpToDate>false</LinksUpToDate>
  <CharactersWithSpaces>1600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朱琳</cp:lastModifiedBy>
  <cp:lastPrinted>2023-06-27T09:13:00Z</cp:lastPrinted>
  <dcterms:modified xsi:type="dcterms:W3CDTF">2023-06-28T01:29:16Z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7F5414E2AADE4E70AB4972A04DF537A1_13</vt:lpwstr>
  </property>
</Properties>
</file>