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 xml:space="preserve">竞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>价 函</w:t>
      </w:r>
    </w:p>
    <w:p>
      <w:pPr>
        <w:pStyle w:val="6"/>
        <w:tabs>
          <w:tab w:val="left" w:pos="2460"/>
        </w:tabs>
        <w:rPr>
          <w:rFonts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雅安城投物业服务有限公司</w:t>
      </w:r>
    </w:p>
    <w:p>
      <w:pPr>
        <w:jc w:val="center"/>
        <w:rPr>
          <w:rFonts w:hint="default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城投公司食堂干杂竞价</w:t>
      </w:r>
    </w:p>
    <w:p>
      <w:pPr>
        <w:ind w:firstLine="1422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2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2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雅安城投物业服务有限公司</w:t>
      </w:r>
    </w:p>
    <w:bookmarkEnd w:id="0"/>
    <w:p>
      <w:pPr>
        <w:ind w:firstLine="3960" w:firstLineChars="1100"/>
        <w:rPr>
          <w:rFonts w:hint="eastAsia" w:ascii="宋体" w:hAnsi="宋体" w:eastAsia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2022年12月</w:t>
      </w: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价函</w:t>
      </w:r>
    </w:p>
    <w:tbl>
      <w:tblPr>
        <w:tblStyle w:val="17"/>
        <w:tblpPr w:leftFromText="180" w:rightFromText="180" w:vertAnchor="text" w:horzAnchor="page" w:tblpX="659" w:tblpY="896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食堂干杂竞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采购单位名称：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吴月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0835-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2621753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价项目范围、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及其他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1.调料、面粉类等食堂干杂用品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2.报价为包干价，报价包含食堂干杂及服务费、税费（增值税）、运输费等一切费用，报价不得高于投标时市场价，不再额外增加其他费用。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3.服务期内供货价不得高于投标时最终报价，3个月内报价不得增涨。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4.原则上应在我方提出配送或维修要求后，在我方要求时间内（原则在30分钟内）送达，无故超出时间3次，我方有权单方解除合同。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税务登记证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对公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账户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开具相关票据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增值税普通及专用发票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tabs>
                <w:tab w:val="left" w:pos="458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1.报价要求：报价函发送时间为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12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 xml:space="preserve">5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日至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 xml:space="preserve">  12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 xml:space="preserve">  7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，报价必须按照甲方提供的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价函及其附件要求报价，乙方单位私自变更内容，甲方有权拒绝。</w:t>
            </w:r>
          </w:p>
          <w:p>
            <w:pPr>
              <w:spacing w:line="360" w:lineRule="auto"/>
              <w:rPr>
                <w:rFonts w:hint="default" w:ascii="宋体" w:hAnsi="宋体"/>
                <w:bCs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2.报价单组成：（1）报价函；（2）营业执照盖鲜章；（3）法人授权书；（4）法人身份证复印件盖鲜章；（5）授权委托人身份证复印件盖鲜章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资格条件要求所需资料；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2022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12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 xml:space="preserve"> 8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10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（四川省雅安市雨城区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姚桥新区和兴街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1号2楼物业办公室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评审办法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采用经评审最低价办法，评审价以不含税总价为基数。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1.已中标的中标无效，并向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赔付补偿金（合同金额的2%）；已签订合同的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有权解除合同，并收取补偿金（合同金额的2%），并由违约方按合同相关约定承担违约责任，同时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直接或间接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经济损失）。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报价方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并有权决定与其不再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ind w:firstLine="420" w:firstLineChars="200"/>
        <w:rPr>
          <w:rFonts w:ascii="方正小标宋简体" w:eastAsia="方正小标宋简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color w:val="000000" w:themeColor="text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食堂</w:t>
      </w:r>
      <w:r>
        <w:rPr>
          <w:rFonts w:hint="eastAsia" w:ascii="宋体" w:hAnsi="宋体"/>
          <w:color w:val="000000" w:themeColor="text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干杂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价，现诚邀遵守中国有关法律、法规，且具有良好的商业信誉及服务能力的单位参加，项目详情如下：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附件1：报价表</w:t>
      </w:r>
    </w:p>
    <w:tbl>
      <w:tblPr>
        <w:tblStyle w:val="18"/>
        <w:tblW w:w="10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045"/>
        <w:gridCol w:w="1020"/>
        <w:gridCol w:w="885"/>
        <w:gridCol w:w="1905"/>
        <w:gridCol w:w="1290"/>
        <w:gridCol w:w="5"/>
        <w:gridCol w:w="133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4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02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8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品牌及规格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税率</w:t>
            </w: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郫县豆瓣酱</w:t>
            </w:r>
          </w:p>
        </w:tc>
        <w:tc>
          <w:tcPr>
            <w:tcW w:w="102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10千克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4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甜面酱</w:t>
            </w:r>
          </w:p>
        </w:tc>
        <w:tc>
          <w:tcPr>
            <w:tcW w:w="102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88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10千克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4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食用盐</w:t>
            </w:r>
          </w:p>
        </w:tc>
        <w:tc>
          <w:tcPr>
            <w:tcW w:w="102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88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豪吉鸡精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88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454克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国泰味精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454克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海天老抽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1.9升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海天生抽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1.9升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李锦记蒸鱼豆油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8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1.9升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建华香油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8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老干妈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8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辣鲜露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448克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东古酱油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8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恒顺香醋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8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海天蚝油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8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大红浙醋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620克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红星二锅头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浓缩鸡汁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藤椒油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花椒油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凤球麦番茄酱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850克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美极鲜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富顺香辣酱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窝窝米酒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818克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海天白醋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玉米淀粉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25千克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鱼泉榨菜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碎米芽菜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辣椒面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辣椒节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白糖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白芝麻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胡椒面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干笋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木耳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海带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花椒粒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花生米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干黄花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八角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山奈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桂皮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大白豆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黄豆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散装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红99火锅料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盈棚泡青菜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0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盈棚小米椒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8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90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2.5千克</w:t>
            </w:r>
          </w:p>
        </w:tc>
        <w:tc>
          <w:tcPr>
            <w:tcW w:w="12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150" w:type="dxa"/>
            <w:gridSpan w:val="6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合计：</w:t>
            </w:r>
          </w:p>
        </w:tc>
        <w:tc>
          <w:tcPr>
            <w:tcW w:w="1330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：1.报价单价为包干价，包含食堂干杂用品及服务费、税费（增值税）、运输费等一切费用，不再额外增加其他费用。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2.服务期内供货单价不得高于投标时最终单价报价，3个月内报价不得增涨。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3.配送时需按照竞价清单上物品的品牌及规格进行配送，若收货时发现与订购商品规格及价格不符，我方有权拒绝收货。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4.包含但不限于以上干杂用品,未包含在报价单中的其他耗材，费用不高于市场价，并由我公司自主决定是否在报价单位购买。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5.报价时需将此《竞价函》封面、正文、表格全部打印并按要求密封后交我公司。</w:t>
      </w:r>
    </w:p>
    <w:p>
      <w:pPr>
        <w:spacing w:line="500" w:lineRule="exact"/>
        <w:rPr>
          <w:rFonts w:hint="eastAsia" w:ascii="宋体" w:hAnsi="宋体"/>
          <w:b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此表必须装入报价文件中。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后附：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报价含及其清单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法人（经营者）证明或法人授权书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授权委托人身份证复印件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+鲜章；（6）资格条件要求所需资料；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公司名称（盖章）：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　　　　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　　　　　　　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法定代表人或授权代表（签字）：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及联系电话：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日期: 　</w:t>
      </w:r>
    </w:p>
    <w:sectPr>
      <w:headerReference r:id="rId3" w:type="default"/>
      <w:footerReference r:id="rId4" w:type="default"/>
      <w:footnotePr>
        <w:pos w:val="beneathText"/>
      </w:footnotePr>
      <w:pgSz w:w="11905" w:h="16837"/>
      <w:pgMar w:top="595" w:right="1134" w:bottom="595" w:left="850" w:header="851" w:footer="992" w:gutter="0"/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3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6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1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pos w:val="beneathText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ZjJjYzUzNjM4ZjM2MjhiYWM4YTAzMjlmOGViMjAifQ=="/>
  </w:docVars>
  <w:rsids>
    <w:rsidRoot w:val="00C9554A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F3456"/>
    <w:rsid w:val="00300C8F"/>
    <w:rsid w:val="003070F3"/>
    <w:rsid w:val="0031539C"/>
    <w:rsid w:val="00323AA6"/>
    <w:rsid w:val="00324303"/>
    <w:rsid w:val="00324865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7888"/>
    <w:rsid w:val="004F6237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9001E"/>
    <w:rsid w:val="00893C0A"/>
    <w:rsid w:val="00897672"/>
    <w:rsid w:val="008A0AA9"/>
    <w:rsid w:val="008A5C34"/>
    <w:rsid w:val="008A640E"/>
    <w:rsid w:val="008A6425"/>
    <w:rsid w:val="008C08F2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4C738C"/>
    <w:rsid w:val="038A635A"/>
    <w:rsid w:val="05CB0F64"/>
    <w:rsid w:val="0C981349"/>
    <w:rsid w:val="0FD07A86"/>
    <w:rsid w:val="10AD6AAB"/>
    <w:rsid w:val="10EA595B"/>
    <w:rsid w:val="110A1AD5"/>
    <w:rsid w:val="11E50982"/>
    <w:rsid w:val="12FC4EED"/>
    <w:rsid w:val="13383ED1"/>
    <w:rsid w:val="15AE2336"/>
    <w:rsid w:val="16831E2E"/>
    <w:rsid w:val="180541EC"/>
    <w:rsid w:val="18DB31B1"/>
    <w:rsid w:val="197C5011"/>
    <w:rsid w:val="19873ACF"/>
    <w:rsid w:val="1A7B08FD"/>
    <w:rsid w:val="205D622D"/>
    <w:rsid w:val="243C11B9"/>
    <w:rsid w:val="24E87A6B"/>
    <w:rsid w:val="25495507"/>
    <w:rsid w:val="274C096F"/>
    <w:rsid w:val="276E4B4E"/>
    <w:rsid w:val="284D4DD9"/>
    <w:rsid w:val="28C82872"/>
    <w:rsid w:val="28D52B46"/>
    <w:rsid w:val="2AF75BDF"/>
    <w:rsid w:val="2B3C2B78"/>
    <w:rsid w:val="2BB626E2"/>
    <w:rsid w:val="2DD6761F"/>
    <w:rsid w:val="2E2C0D2A"/>
    <w:rsid w:val="2F212B1B"/>
    <w:rsid w:val="2F947791"/>
    <w:rsid w:val="31D240C7"/>
    <w:rsid w:val="3251489B"/>
    <w:rsid w:val="32AE06F0"/>
    <w:rsid w:val="335863FE"/>
    <w:rsid w:val="34545E59"/>
    <w:rsid w:val="373E6C5C"/>
    <w:rsid w:val="376C7BDD"/>
    <w:rsid w:val="37F66F05"/>
    <w:rsid w:val="37FC514B"/>
    <w:rsid w:val="38BA649F"/>
    <w:rsid w:val="391A3A3A"/>
    <w:rsid w:val="395D152B"/>
    <w:rsid w:val="39A10E36"/>
    <w:rsid w:val="3C03323D"/>
    <w:rsid w:val="3CA34155"/>
    <w:rsid w:val="3DA23AB0"/>
    <w:rsid w:val="3DAD4B33"/>
    <w:rsid w:val="407578AB"/>
    <w:rsid w:val="40BD4320"/>
    <w:rsid w:val="43532873"/>
    <w:rsid w:val="436C0B16"/>
    <w:rsid w:val="438D76F7"/>
    <w:rsid w:val="43B1111A"/>
    <w:rsid w:val="46866FE1"/>
    <w:rsid w:val="47876D4D"/>
    <w:rsid w:val="495A5744"/>
    <w:rsid w:val="4A64571C"/>
    <w:rsid w:val="4AE27FBA"/>
    <w:rsid w:val="4BAC0EB9"/>
    <w:rsid w:val="4F62413A"/>
    <w:rsid w:val="56501B9C"/>
    <w:rsid w:val="56C37A5C"/>
    <w:rsid w:val="56ED3C7E"/>
    <w:rsid w:val="585C022D"/>
    <w:rsid w:val="5B3A0472"/>
    <w:rsid w:val="5B996F79"/>
    <w:rsid w:val="5BFE271B"/>
    <w:rsid w:val="5C41389F"/>
    <w:rsid w:val="5C5F632A"/>
    <w:rsid w:val="5C624BD9"/>
    <w:rsid w:val="5F8A26CE"/>
    <w:rsid w:val="609522B4"/>
    <w:rsid w:val="625E20AA"/>
    <w:rsid w:val="646C0344"/>
    <w:rsid w:val="671477D9"/>
    <w:rsid w:val="681273DF"/>
    <w:rsid w:val="69CA0E37"/>
    <w:rsid w:val="6B7D454F"/>
    <w:rsid w:val="6D850292"/>
    <w:rsid w:val="6DD076F4"/>
    <w:rsid w:val="6E675169"/>
    <w:rsid w:val="6F1A10C8"/>
    <w:rsid w:val="7217328A"/>
    <w:rsid w:val="7268538D"/>
    <w:rsid w:val="72904241"/>
    <w:rsid w:val="732C48FD"/>
    <w:rsid w:val="756B7C19"/>
    <w:rsid w:val="761C45F1"/>
    <w:rsid w:val="770C0F88"/>
    <w:rsid w:val="7728448C"/>
    <w:rsid w:val="77A03FD3"/>
    <w:rsid w:val="78102BB8"/>
    <w:rsid w:val="796224C0"/>
    <w:rsid w:val="7A0D0355"/>
    <w:rsid w:val="7ABE471B"/>
    <w:rsid w:val="7C664B27"/>
    <w:rsid w:val="7CD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3">
    <w:name w:val="heading 2"/>
    <w:basedOn w:val="1"/>
    <w:next w:val="4"/>
    <w:link w:val="32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4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0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6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21"/>
    <w:qFormat/>
    <w:uiPriority w:val="0"/>
  </w:style>
  <w:style w:type="character" w:customStyle="1" w:styleId="21">
    <w:name w:val="默认段落字体1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正文首行缩进两字符 Char"/>
    <w:link w:val="25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5">
    <w:name w:val="正文首行缩进两字符"/>
    <w:basedOn w:val="1"/>
    <w:link w:val="24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6">
    <w:name w:val="纯文本 Char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7">
    <w:name w:val="（符号）三标题1.1 Char"/>
    <w:link w:val="28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8">
    <w:name w:val="（符号）三标题1.1"/>
    <w:basedOn w:val="1"/>
    <w:link w:val="27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29">
    <w:name w:val="(符号)标书正文 Char"/>
    <w:link w:val="30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0">
    <w:name w:val="(符号)标书正文"/>
    <w:basedOn w:val="1"/>
    <w:link w:val="29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1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2">
    <w:name w:val="标题 2 Char"/>
    <w:link w:val="3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3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4">
    <w:name w:val="正文文本缩进 2 Char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5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6">
    <w:name w:val="脚注文本 Char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7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8">
    <w:name w:val="样式 宋体 小四"/>
    <w:qFormat/>
    <w:uiPriority w:val="0"/>
    <w:rPr>
      <w:sz w:val="24"/>
    </w:rPr>
  </w:style>
  <w:style w:type="character" w:customStyle="1" w:styleId="39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0">
    <w:name w:val="批注框文本 Char"/>
    <w:link w:val="11"/>
    <w:qFormat/>
    <w:uiPriority w:val="0"/>
    <w:rPr>
      <w:kern w:val="1"/>
      <w:sz w:val="18"/>
      <w:lang w:eastAsia="ar-SA" w:bidi="ar-SA"/>
    </w:rPr>
  </w:style>
  <w:style w:type="paragraph" w:customStyle="1" w:styleId="4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2">
    <w:name w:val="Char Char Char Char Char Char Char"/>
    <w:basedOn w:val="1"/>
    <w:qFormat/>
    <w:uiPriority w:val="0"/>
    <w:rPr>
      <w:szCs w:val="21"/>
    </w:rPr>
  </w:style>
  <w:style w:type="paragraph" w:customStyle="1" w:styleId="43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4">
    <w:name w:val="（符号）二标题总则"/>
    <w:basedOn w:val="45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5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6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8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49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1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2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3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C3BC66-3DE3-4D3C-AC62-62DE47CE25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5</Pages>
  <Words>1833</Words>
  <Characters>2030</Characters>
  <Lines>17</Lines>
  <Paragraphs>4</Paragraphs>
  <TotalTime>34</TotalTime>
  <ScaleCrop>false</ScaleCrop>
  <LinksUpToDate>false</LinksUpToDate>
  <CharactersWithSpaces>2223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吴月</cp:lastModifiedBy>
  <cp:lastPrinted>2022-12-02T01:09:00Z</cp:lastPrinted>
  <dcterms:modified xsi:type="dcterms:W3CDTF">2022-12-05T03:13:09Z</dcterms:modified>
  <dc:title>雅安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BB73273D774242CE96BA5A525191E85D</vt:lpwstr>
  </property>
</Properties>
</file>