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雅安市城区道路大修整治项目新民街路灯采购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雅安市城区道路大修整治项目新民街路灯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雅安市城区道路大修整治项目新民街路灯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丁宇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13219788701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1：详见材料清单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（2）具有良好的商业信誉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（3）具备较强供货能力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营业执照具备相应的经营范围。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）本项目参加招投标活动的投标人在前三年内不得具有行贿犯罪记录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244100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大写：贰拾肆万肆仟壹佰元整</w:t>
            </w:r>
          </w:p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6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10:00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(见附表)</w:t>
      </w:r>
    </w:p>
    <w:p>
      <w:pPr>
        <w:pStyle w:val="2"/>
      </w:pPr>
    </w:p>
    <w:p>
      <w:pPr>
        <w:adjustRightInd w:val="0"/>
        <w:spacing w:line="400" w:lineRule="exact"/>
        <w:jc w:val="left"/>
        <w:rPr>
          <w:rFonts w:hint="eastAsia" w:ascii="宋体" w:hAnsi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注：该控制价为不含税价。该清单量为预估量，具体以现场实际使用为准。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C00000"/>
          <w:sz w:val="24"/>
          <w:lang w:val="en-US" w:eastAsia="zh-CN"/>
        </w:rPr>
        <w:t>税率不得低于13%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含税总价</w:t>
      </w:r>
      <w:r>
        <w:rPr>
          <w:rFonts w:hint="eastAsia" w:ascii="宋体" w:hAnsi="宋体"/>
          <w:color w:val="FF0000"/>
          <w:sz w:val="24"/>
        </w:rPr>
        <w:t>为</w:t>
      </w:r>
      <w:r>
        <w:rPr>
          <w:rFonts w:hint="eastAsia" w:ascii="宋体" w:hAnsi="宋体"/>
          <w:color w:val="FF0000"/>
          <w:sz w:val="24"/>
          <w:lang w:eastAsia="zh-CN"/>
        </w:rPr>
        <w:t>材料到场价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</w:t>
      </w:r>
      <w:r>
        <w:rPr>
          <w:rFonts w:hint="eastAsia" w:ascii="宋体" w:hAnsi="宋体"/>
          <w:color w:val="FF0000"/>
          <w:sz w:val="24"/>
          <w:lang w:val="en-US" w:eastAsia="zh-CN"/>
        </w:rPr>
        <w:t>安装,</w:t>
      </w:r>
      <w:r>
        <w:rPr>
          <w:rFonts w:hint="eastAsia" w:ascii="宋体" w:hAnsi="宋体"/>
          <w:color w:val="FF0000"/>
          <w:sz w:val="24"/>
        </w:rPr>
        <w:t>上下车费</w:t>
      </w:r>
      <w:r>
        <w:rPr>
          <w:rFonts w:hint="eastAsia" w:ascii="宋体" w:hAnsi="宋体"/>
          <w:color w:val="FF0000"/>
          <w:sz w:val="24"/>
          <w:lang w:val="en-US" w:eastAsia="zh-CN"/>
        </w:rPr>
        <w:t>、</w:t>
      </w:r>
      <w:r>
        <w:rPr>
          <w:rFonts w:hint="eastAsia" w:ascii="宋体" w:hAnsi="宋体"/>
          <w:color w:val="FF0000"/>
          <w:sz w:val="24"/>
        </w:rPr>
        <w:t>税费（增值税专用发票）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等形成工程实体的</w:t>
      </w:r>
      <w:r>
        <w:rPr>
          <w:rFonts w:hint="eastAsia" w:ascii="宋体" w:hAnsi="宋体"/>
          <w:color w:val="FF0000"/>
          <w:sz w:val="24"/>
        </w:rPr>
        <w:t>一切费用。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发票采用一票制。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pStyle w:val="2"/>
        <w:rPr>
          <w:rFonts w:hint="eastAsia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default" w:ascii="宋体" w:hAnsi="宋体"/>
          <w:b/>
          <w:color w:val="000000"/>
          <w:sz w:val="24"/>
          <w:lang w:val="en-US" w:eastAsia="zh-CN"/>
        </w:rPr>
      </w:pP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2UyMmJlZjA4MzlhZWU3M2RhMDA3Njg5NGE0MTkifQ=="/>
  </w:docVars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4D13DB5"/>
    <w:rsid w:val="05CB0F64"/>
    <w:rsid w:val="06622973"/>
    <w:rsid w:val="07935ED0"/>
    <w:rsid w:val="07DC0494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0B2DB9"/>
    <w:rsid w:val="1A7B08FD"/>
    <w:rsid w:val="1B3D593A"/>
    <w:rsid w:val="1F2D130A"/>
    <w:rsid w:val="1F813A12"/>
    <w:rsid w:val="20132210"/>
    <w:rsid w:val="203660D9"/>
    <w:rsid w:val="22042D93"/>
    <w:rsid w:val="24030E99"/>
    <w:rsid w:val="243C11B9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B626E2"/>
    <w:rsid w:val="2C875615"/>
    <w:rsid w:val="2E2C0D2A"/>
    <w:rsid w:val="2F8A3126"/>
    <w:rsid w:val="30C74C2C"/>
    <w:rsid w:val="31D240C7"/>
    <w:rsid w:val="31DC7EC1"/>
    <w:rsid w:val="31ED533C"/>
    <w:rsid w:val="321933AD"/>
    <w:rsid w:val="3251489B"/>
    <w:rsid w:val="34545E59"/>
    <w:rsid w:val="360D1645"/>
    <w:rsid w:val="36590DED"/>
    <w:rsid w:val="373E6C5C"/>
    <w:rsid w:val="376C7BDD"/>
    <w:rsid w:val="37F66F05"/>
    <w:rsid w:val="37FC514B"/>
    <w:rsid w:val="38084878"/>
    <w:rsid w:val="38156C0E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8D1355"/>
    <w:rsid w:val="3DAD4B33"/>
    <w:rsid w:val="3E9E690B"/>
    <w:rsid w:val="3EC4059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6866FE1"/>
    <w:rsid w:val="478B2DD0"/>
    <w:rsid w:val="48D74430"/>
    <w:rsid w:val="49284D7B"/>
    <w:rsid w:val="495A5744"/>
    <w:rsid w:val="4A64571C"/>
    <w:rsid w:val="4AE27FBA"/>
    <w:rsid w:val="4BAC0EB9"/>
    <w:rsid w:val="4E706335"/>
    <w:rsid w:val="4F524F2E"/>
    <w:rsid w:val="4F62413A"/>
    <w:rsid w:val="4FFE22FD"/>
    <w:rsid w:val="50391D4C"/>
    <w:rsid w:val="52EF265E"/>
    <w:rsid w:val="553B3C6F"/>
    <w:rsid w:val="55B6370E"/>
    <w:rsid w:val="56066443"/>
    <w:rsid w:val="56C37A5C"/>
    <w:rsid w:val="56ED3C7E"/>
    <w:rsid w:val="575261C2"/>
    <w:rsid w:val="57D4431F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E458EA"/>
    <w:rsid w:val="643911AA"/>
    <w:rsid w:val="65332685"/>
    <w:rsid w:val="656942F9"/>
    <w:rsid w:val="65EF4692"/>
    <w:rsid w:val="662B7F6E"/>
    <w:rsid w:val="67000C8D"/>
    <w:rsid w:val="67073DC9"/>
    <w:rsid w:val="671477D9"/>
    <w:rsid w:val="681273DF"/>
    <w:rsid w:val="68457B77"/>
    <w:rsid w:val="69CA0E37"/>
    <w:rsid w:val="6A3E28C5"/>
    <w:rsid w:val="6A885221"/>
    <w:rsid w:val="6AD811B4"/>
    <w:rsid w:val="6B701761"/>
    <w:rsid w:val="6B7D454F"/>
    <w:rsid w:val="6C1C4838"/>
    <w:rsid w:val="6C833956"/>
    <w:rsid w:val="6D850292"/>
    <w:rsid w:val="6E5D0D8B"/>
    <w:rsid w:val="6E675169"/>
    <w:rsid w:val="6F1A10C8"/>
    <w:rsid w:val="6F354F20"/>
    <w:rsid w:val="6F6F7560"/>
    <w:rsid w:val="6FD50F8F"/>
    <w:rsid w:val="7217328A"/>
    <w:rsid w:val="723238FC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4</Pages>
  <Words>1553</Words>
  <Characters>1596</Characters>
  <Lines>16</Lines>
  <Paragraphs>4</Paragraphs>
  <TotalTime>160</TotalTime>
  <ScaleCrop>false</ScaleCrop>
  <LinksUpToDate>false</LinksUpToDate>
  <CharactersWithSpaces>2003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d</cp:lastModifiedBy>
  <cp:lastPrinted>2022-06-23T03:19:00Z</cp:lastPrinted>
  <dcterms:modified xsi:type="dcterms:W3CDTF">2022-12-02T09:55:57Z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59313E226BBB4C36B029212C6581E019</vt:lpwstr>
  </property>
</Properties>
</file>