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价 函</w:t>
      </w:r>
    </w:p>
    <w:p>
      <w:pPr>
        <w:pStyle w:val="2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工程耗材供货竞价</w:t>
      </w: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bookmarkEnd w:id="0"/>
    <w:p>
      <w:pPr>
        <w:ind w:firstLine="3960" w:firstLineChars="1100"/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2022年 11月</w:t>
      </w: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价函</w:t>
      </w:r>
    </w:p>
    <w:tbl>
      <w:tblPr>
        <w:tblStyle w:val="17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工程耗材供货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吴月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不锈钢铲刀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钢丝钳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梅花螺丝刀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活动板手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等工程耗材，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2.报价为包干价，报价包含工程耗材用品及服务费、税费（增值税）、运输费等一切费用，不再额外增加其他费用。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3.服务期内供货价不得高于投标时最终报价。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4.原则上应在我方提出配送或维修要求后，在我方要求时间内（原则在30分钟内）送达，无故超出时间3次，我方有权单方解除合同。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11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15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11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17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函及其附件要求报价，乙方单位私自变更内容，甲方有权拒绝。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2022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11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18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10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（四川省雅安市雨城区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姚桥新区和兴街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1号1楼物业办公室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评审办法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采用经评审最低价办法，评审价以不含税总价为基数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工程耗材供货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价，现诚邀遵守中国有关法律、法规，且具有良好的商业信誉及服务能力的单位参加，项目详情如下：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附件1：报价表</w:t>
      </w:r>
    </w:p>
    <w:p>
      <w:pPr>
        <w:pStyle w:val="2"/>
        <w:rPr>
          <w:rFonts w:hint="eastAsia"/>
        </w:rPr>
      </w:pPr>
    </w:p>
    <w:tbl>
      <w:tblPr>
        <w:tblStyle w:val="17"/>
        <w:tblW w:w="11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376"/>
        <w:gridCol w:w="1656"/>
        <w:gridCol w:w="2939"/>
        <w:gridCol w:w="1065"/>
        <w:gridCol w:w="931"/>
        <w:gridCol w:w="646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品牌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税率</w:t>
            </w:r>
          </w:p>
        </w:tc>
        <w:tc>
          <w:tcPr>
            <w:tcW w:w="104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报价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（含税价）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线手套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布手套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焊工手套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全牛皮 长款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绝缘手套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防水手套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乳胶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BV 2.5平方 100米  硬线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BV 4平方 100米 硬线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BV 6平方 100米 硬线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BV 10平方 100米 硬线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铜芯多股软线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BV 2.5平方 100米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铜芯多股软线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BV 4平方 100米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二芯护套线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RVV 1.5*2mm²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二芯护套线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RVV 2.5*2mm²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网线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超五类 300米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液压钳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含模具16-240mm²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钢丝钳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ind w:right="63" w:rightChars="3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尖嘴钳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斜口钳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断线钳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网线钳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8P 双电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铁皮剪刀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10英寸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PVC管剪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开口42MM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穿心螺丝刀一字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穿心螺丝刀十字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梅花螺丝刀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0*100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1*200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2*250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一字螺丝刀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0*100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1*200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2*250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内六角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7件套 1.5-6mm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活动板手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万能英式管钳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200-600mm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梅花扳手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开口扳手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14-17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卷尺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铁膨胀螺丝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6*80mm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8*100mm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10*120mm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塑料膨胀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6号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8号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10号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黑自攻螺丝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15mm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30mm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50mm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钉子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水泥钉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30mm 0.5KG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50mm 0.5KG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电气绝缘胶布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红/白/黑/黄/绿/蓝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自粘橡胶绝缘胶带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高压自粘带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纸胶带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24mm*50m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泡沫双面胶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3.6cm*5m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1.8cm5m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透明胶带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5cm*150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502胶水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PVC胶水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泡沫填充剂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结构胶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结构胶枪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玻璃胶枪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玻璃胶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透明 300ml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AB胶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白乳胶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内墙腻子粉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香蕉水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聚氨酯稀料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聚氨酯清漆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自喷漆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白/红/黄/蓝/绿/黑/灰400ml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油漆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白/红/黄/蓝/绿/黑/灰  3KG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油漆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白/红/黄/蓝/绿/黑/灰  大桶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油漆刷子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滚筒刷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声控开关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插座（排插）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2插位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3插位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4插位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6插位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插头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白面板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E27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E14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LED射灯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3W  白光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3W  暖光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5W  白光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LED灯泡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PVC水管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￠75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￠110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PVC直接（水）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PVC三通（水）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PVC弯头（水）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PVC检查孔（水）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PVC线管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PVC直接（电）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PVC三通（电）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PVC弯头（电）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PVC锁扣（电）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PVC接线盒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金属线管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金属直接（电）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金属三通（电）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金属弯头（电）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金属锁扣（电）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金属接线盒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PVC弯管器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180°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铝合金弯管器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180°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90度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PPR管外丝直接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PPR管外丝直接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PPR大小头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￠25-20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PVC管卡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PVC管卡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PPR三通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PPR三通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PPR管(冷水)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PPR管(冷水)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PPR阀门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PPR阀门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管道内丝直接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管道内丝直接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PPR堵帽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PE管子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PE三通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铜球阀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U型环卡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浮球阀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DN15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DN20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DN25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铁堵头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PPR堵头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工具箱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PP塑料  470*240*205mm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板据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钢锯条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细齿 10根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钢锯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焊工面罩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手持式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焊把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羊角锤铁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不锈钢直尺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靠尺水平尺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排气扇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木开孔器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19-64mm 11件套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铁方铲 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1号 木柄1.2米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十字镐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扁尖洋镐500mm  木柄1米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钢钎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直径25mm 长1.2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三叉套筒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8-10-12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三叉套筒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14-17-19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二锤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10KG 1m把手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40-44码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长款雨衣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牛津布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手电钻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12V  双电池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电锤/电镐双用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26型双用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250型 双电源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100型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3.2mm 150根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数字电笔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摇表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五点式高空安全带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含小钩1.8m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护目镜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工业性 防飞溅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钳形万用表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1000V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生料带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电锤钻头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20*350 方柄 圆柄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切割片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切割片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100*1.2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2.5*100mm 100根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2.5*150mm 100根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2.5*200mm 100根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编织袋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80*120cm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砂纸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雄狮/粗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砂纸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雄狮/细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32A  带漏电保护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防盗水龙头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黄铜 DN20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普通水龙头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黄铜 DN20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钢板平板车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60*90cm 承重600斤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斗车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82*70*35cm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梯子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 加厚型 1.5米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梯子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 加厚型 2.5米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伸缩楼梯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 加厚型 3米=直梯6米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水篦子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铸铁 40*60CM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切割片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木头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美工刀片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10片 18mm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美工刀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45*155mm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防刺刀片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10米 圈径50厘米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灰桶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黑色  深15cm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105型  石材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105型  金属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105型  木材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试压泵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电烙铁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A字告示牌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黄色 工作进行中/维修中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警示带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一次性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消防铲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铁丝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25cm长  丝径0.72mm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时控开关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220v 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高压验电笔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高压绝缘靴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钳形电流表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数字万用表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VC9804A+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铁换气扇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300*300mm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塑料气扇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300*300mm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下水裤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轻便尼龙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条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三孔插座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五孔插座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七孔插座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滑石粉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500g/袋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腻子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铸铁雨水井盖（轻型）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φ600  30-41公斤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铸铁雨水井盖（轻型）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φ700  30-41公斤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高分子雨水井盖（轻型）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φ700  30-41公斤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石膏板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1200*2400*9mm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雨鞋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黑色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雨衣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分体式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雨衣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连体式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反光背心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普通简易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针织布反光布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荧光针织布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强光手电筒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康铭 38W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取暖器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电风扇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防洪编织袋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45*75cm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防爬刺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镀锌 直径50cm 10米/卷 带刀片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LED旋转式警示灯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220V 无声款 直径94mm 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挂锁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40mm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铁链条锁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5mm铁链 包胶  含钥匙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2.5*150mm 白色 150支装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叉锁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安全帽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ABS材料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灭火器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4kg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灭火器箱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4*2 箱体厚0.3cm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钥匙盘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30位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钥匙盘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50位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PE弹力柱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新塑胶75cm  带膨胀螺丝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防洪沙袋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帆布加厚20*40cm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折叠平板车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47*73cm 承重400斤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超市购物车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60升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锁车器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锁车器加厚小吸盘式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A字型塑料警示牌 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黄色 新料  300*210*600mm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合计：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不含税总价</w:t>
            </w:r>
          </w:p>
        </w:tc>
        <w:tc>
          <w:tcPr>
            <w:tcW w:w="6623" w:type="dxa"/>
            <w:gridSpan w:val="5"/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left" w:pos="391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tcBorders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税率</w:t>
            </w:r>
          </w:p>
        </w:tc>
        <w:tc>
          <w:tcPr>
            <w:tcW w:w="6623" w:type="dxa"/>
            <w:gridSpan w:val="5"/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left" w:pos="391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tcBorders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含税总价</w:t>
            </w:r>
          </w:p>
        </w:tc>
        <w:tc>
          <w:tcPr>
            <w:tcW w:w="6623" w:type="dxa"/>
            <w:gridSpan w:val="5"/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left" w:pos="391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：1.报价为包干价，包含工程用品耗材及服务费、税费（增值税）、运输费等一切费用，不再额外增加其他费用。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2.服务期内供货价不得高于投标时最终报价。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3.配送时需按照竞价清单上物品及规格进行制作，若收货时发现与订购商品规格及价格不符，我方有权拒绝收货。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4.包含但不限于以上工程用品耗材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未包含在报价单中的其他耗材，费用不高于市场价，并由我公司自主决定是否在报价单位购买。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5.报价时需将此《竞价函》封面、正文、表格全部打印并按要求密封后交我公司。</w:t>
      </w:r>
    </w:p>
    <w:p>
      <w:pPr>
        <w:spacing w:line="500" w:lineRule="exact"/>
        <w:rPr>
          <w:rFonts w:hint="eastAsia" w:ascii="宋体" w:hAnsi="宋体"/>
          <w:b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法定代表人或授权代表（签字）：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日期: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  <w:bookmarkStart w:id="1" w:name="_GoBack"/>
      <w:bookmarkEnd w:id="1"/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595" w:right="1375" w:bottom="595" w:left="107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709F927F"/>
    <w:multiLevelType w:val="singleLevel"/>
    <w:tmpl w:val="709F927F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jYzUzNjM4ZjM2MjhiYWM4YTAzMjlmOGViMjAifQ=="/>
  </w:docVars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889646B"/>
    <w:rsid w:val="0C981349"/>
    <w:rsid w:val="0F174E32"/>
    <w:rsid w:val="0FD07A86"/>
    <w:rsid w:val="10AD6AAB"/>
    <w:rsid w:val="10EA595B"/>
    <w:rsid w:val="110A1AD5"/>
    <w:rsid w:val="11E50982"/>
    <w:rsid w:val="12FC4EED"/>
    <w:rsid w:val="13383ED1"/>
    <w:rsid w:val="15AE2336"/>
    <w:rsid w:val="16831E2E"/>
    <w:rsid w:val="17052A3A"/>
    <w:rsid w:val="177F37BC"/>
    <w:rsid w:val="180541EC"/>
    <w:rsid w:val="197C5011"/>
    <w:rsid w:val="1A7B08FD"/>
    <w:rsid w:val="1E8778EF"/>
    <w:rsid w:val="1EAB08AA"/>
    <w:rsid w:val="23357623"/>
    <w:rsid w:val="243C11B9"/>
    <w:rsid w:val="24E87A6B"/>
    <w:rsid w:val="25495507"/>
    <w:rsid w:val="274C096F"/>
    <w:rsid w:val="2AB059F4"/>
    <w:rsid w:val="2AF75BDF"/>
    <w:rsid w:val="2BB626E2"/>
    <w:rsid w:val="2C2B39AD"/>
    <w:rsid w:val="2E2C0D2A"/>
    <w:rsid w:val="2F5D7A18"/>
    <w:rsid w:val="31D240C7"/>
    <w:rsid w:val="3251489B"/>
    <w:rsid w:val="326E461D"/>
    <w:rsid w:val="335863FE"/>
    <w:rsid w:val="34545E59"/>
    <w:rsid w:val="36FE6734"/>
    <w:rsid w:val="373E6C5C"/>
    <w:rsid w:val="376C7BDD"/>
    <w:rsid w:val="37F66F05"/>
    <w:rsid w:val="37FC514B"/>
    <w:rsid w:val="38BA649F"/>
    <w:rsid w:val="391A3A3A"/>
    <w:rsid w:val="395D152B"/>
    <w:rsid w:val="3C03323D"/>
    <w:rsid w:val="3CA34155"/>
    <w:rsid w:val="3DAD4B33"/>
    <w:rsid w:val="3E137287"/>
    <w:rsid w:val="3F1A5D32"/>
    <w:rsid w:val="400B145E"/>
    <w:rsid w:val="40BD4320"/>
    <w:rsid w:val="40EF7905"/>
    <w:rsid w:val="43532873"/>
    <w:rsid w:val="43566858"/>
    <w:rsid w:val="436C0B16"/>
    <w:rsid w:val="438D76F7"/>
    <w:rsid w:val="43947C86"/>
    <w:rsid w:val="43B1111A"/>
    <w:rsid w:val="46866FE1"/>
    <w:rsid w:val="48820DAB"/>
    <w:rsid w:val="495A5744"/>
    <w:rsid w:val="4A64571C"/>
    <w:rsid w:val="4AE27FBA"/>
    <w:rsid w:val="4B4540F8"/>
    <w:rsid w:val="4BAC0EB9"/>
    <w:rsid w:val="4F62413A"/>
    <w:rsid w:val="52A719D3"/>
    <w:rsid w:val="542151AB"/>
    <w:rsid w:val="56C37A5C"/>
    <w:rsid w:val="56ED3C7E"/>
    <w:rsid w:val="585C022D"/>
    <w:rsid w:val="592D5F4A"/>
    <w:rsid w:val="5B3A0472"/>
    <w:rsid w:val="5B996F79"/>
    <w:rsid w:val="5BFE271B"/>
    <w:rsid w:val="5C41389F"/>
    <w:rsid w:val="5C5F632A"/>
    <w:rsid w:val="5C624BD9"/>
    <w:rsid w:val="5F8A26CE"/>
    <w:rsid w:val="625E20AA"/>
    <w:rsid w:val="65A43BBA"/>
    <w:rsid w:val="671477D9"/>
    <w:rsid w:val="681273DF"/>
    <w:rsid w:val="69CA0E37"/>
    <w:rsid w:val="6B7D454F"/>
    <w:rsid w:val="6C2216A6"/>
    <w:rsid w:val="6D850292"/>
    <w:rsid w:val="6E675169"/>
    <w:rsid w:val="6F1A10C8"/>
    <w:rsid w:val="70370356"/>
    <w:rsid w:val="70AF3E75"/>
    <w:rsid w:val="7217328A"/>
    <w:rsid w:val="725C0A45"/>
    <w:rsid w:val="7268538D"/>
    <w:rsid w:val="72904241"/>
    <w:rsid w:val="732C48FD"/>
    <w:rsid w:val="749D5BA4"/>
    <w:rsid w:val="761C45F1"/>
    <w:rsid w:val="7728448C"/>
    <w:rsid w:val="78102BB8"/>
    <w:rsid w:val="78EA21E1"/>
    <w:rsid w:val="796224C0"/>
    <w:rsid w:val="7A0D0355"/>
    <w:rsid w:val="7CD21A0D"/>
    <w:rsid w:val="7EC8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22</Pages>
  <Words>7328</Words>
  <Characters>9149</Characters>
  <Lines>17</Lines>
  <Paragraphs>4</Paragraphs>
  <TotalTime>17</TotalTime>
  <ScaleCrop>false</ScaleCrop>
  <LinksUpToDate>false</LinksUpToDate>
  <CharactersWithSpaces>10286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吴月</cp:lastModifiedBy>
  <cp:lastPrinted>2022-11-11T02:29:31Z</cp:lastPrinted>
  <dcterms:modified xsi:type="dcterms:W3CDTF">2022-11-11T02:31:53Z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A7DBF1DF659543029E2A3257975A02D1</vt:lpwstr>
  </property>
</Properties>
</file>