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四川省区域应急救援雅安基地附属道路项目</w:t>
      </w:r>
    </w:p>
    <w:p>
      <w:pPr>
        <w:pStyle w:val="2"/>
        <w:ind w:firstLine="3614" w:firstLineChars="100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沥青水稳材料采购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四川省区域应急救援雅安基地附属道路项目沥青水稳材料采购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四川省区域应急救援雅安基地附属道路项目沥青水稳材料采购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丁宇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13219788701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（2）具有良好的商业信誉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）法律、行政法规规定的其他条件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）本项目参加招投标活动的投标人在前三年内不得具有行贿犯罪记录</w:t>
            </w:r>
            <w:r>
              <w:rPr>
                <w:rFonts w:hint="eastAsia"/>
                <w:lang w:eastAsia="zh-CN"/>
              </w:rPr>
              <w:t>；</w:t>
            </w:r>
            <w:bookmarkStart w:id="2" w:name="_GoBack"/>
            <w:bookmarkEnd w:id="2"/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（7）营业执照具备相应经营范围。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269647.89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贰拾陆万玖仟陆佰肆拾柒元捌角玖分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05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354"/>
        <w:gridCol w:w="843"/>
        <w:gridCol w:w="914"/>
        <w:gridCol w:w="857"/>
        <w:gridCol w:w="985"/>
        <w:gridCol w:w="733"/>
        <w:gridCol w:w="1067"/>
        <w:gridCol w:w="1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控制价（元）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不含税报价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不含税总价（元）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4cm厚细粒式SBS改性沥青混凝土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AC-13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968.73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46499.04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1.自行考查现场，综合考虑运输及铺设；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2.面积以现场实际完成量以投影面积计算。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6cm厚中粒式普通沥青混凝土下面层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AC-20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968.73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58123.8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20cm厚5%水泥稳定碎石上基层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详见图纸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968.73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72654.75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20cm厚4%水泥稳定碎石下基层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详见图纸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1102.44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82683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0.6cm乳化沥青稀浆封层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详见图纸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968.73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6781.11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粘层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详见图纸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1937.46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1937.46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透层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详见图纸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968.73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968.73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6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269647.89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元    大写: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>贰拾陆万玖仟陆佰肆拾柒元捌角玖分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沥青报价合计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水稳报价合计</w:t>
            </w:r>
          </w:p>
        </w:tc>
        <w:tc>
          <w:tcPr>
            <w:tcW w:w="6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注：该控制价为不含税价。以上材料若出现税率不一致，请备注各项材料税率。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4"/>
        </w:rPr>
        <w:t>报价为</w:t>
      </w:r>
      <w:r>
        <w:rPr>
          <w:rFonts w:hint="eastAsia" w:ascii="宋体" w:hAnsi="宋体"/>
          <w:color w:val="FF0000"/>
          <w:sz w:val="24"/>
          <w:lang w:val="en-US" w:eastAsia="zh-CN"/>
        </w:rPr>
        <w:t>单价</w:t>
      </w:r>
      <w:r>
        <w:rPr>
          <w:rFonts w:hint="eastAsia" w:ascii="宋体" w:hAnsi="宋体"/>
          <w:color w:val="FF0000"/>
          <w:sz w:val="24"/>
        </w:rPr>
        <w:t>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、铺设费、安全文明施工费等形成工程实体的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default" w:ascii="宋体" w:hAnsi="宋体"/>
          <w:color w:val="000000"/>
          <w:sz w:val="24"/>
          <w:lang w:val="en-US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发票为增值税专用发票采用一票制，税金另计。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2892CA8"/>
    <w:rsid w:val="038A635A"/>
    <w:rsid w:val="049B4D7A"/>
    <w:rsid w:val="05CB0F64"/>
    <w:rsid w:val="06622973"/>
    <w:rsid w:val="07935ED0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7B08FD"/>
    <w:rsid w:val="1B3D593A"/>
    <w:rsid w:val="1F2D130A"/>
    <w:rsid w:val="20132210"/>
    <w:rsid w:val="22042D93"/>
    <w:rsid w:val="24030E99"/>
    <w:rsid w:val="243C11B9"/>
    <w:rsid w:val="249152E3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34453FE"/>
    <w:rsid w:val="34545E59"/>
    <w:rsid w:val="360D1645"/>
    <w:rsid w:val="36590DED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AD4B33"/>
    <w:rsid w:val="3E9E690B"/>
    <w:rsid w:val="3EC40598"/>
    <w:rsid w:val="3EDE6DF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95A5744"/>
    <w:rsid w:val="4A64571C"/>
    <w:rsid w:val="4AE27FBA"/>
    <w:rsid w:val="4BAC0EB9"/>
    <w:rsid w:val="4DB66F4D"/>
    <w:rsid w:val="4E706335"/>
    <w:rsid w:val="4F524F2E"/>
    <w:rsid w:val="4F62413A"/>
    <w:rsid w:val="50391D4C"/>
    <w:rsid w:val="51CB58B0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885221"/>
    <w:rsid w:val="6AD811B4"/>
    <w:rsid w:val="6B701761"/>
    <w:rsid w:val="6B7D454F"/>
    <w:rsid w:val="6C1C4838"/>
    <w:rsid w:val="6C833956"/>
    <w:rsid w:val="6D3F24D9"/>
    <w:rsid w:val="6D850292"/>
    <w:rsid w:val="6E5D0D8B"/>
    <w:rsid w:val="6E675169"/>
    <w:rsid w:val="6F1A10C8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  <w:rsid w:val="7F032C71"/>
    <w:rsid w:val="7F3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1769</Words>
  <Characters>1932</Characters>
  <Lines>16</Lines>
  <Paragraphs>4</Paragraphs>
  <TotalTime>10</TotalTime>
  <ScaleCrop>false</ScaleCrop>
  <LinksUpToDate>false</LinksUpToDate>
  <CharactersWithSpaces>2377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2022-08-03T04:40:08Z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59313E226BBB4C36B029212C6581E019</vt:lpwstr>
  </property>
</Properties>
</file>