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雨城区凤鸣垃圾填埋场永久性封场治理工程项目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渗滤液抽排井、</w:t>
      </w:r>
      <w:r>
        <w:rPr>
          <w:rFonts w:hint="eastAsia" w:ascii="宋体" w:hAnsi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填埋气集气井钻井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竞价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p>
      <w:pPr>
        <w:ind w:firstLine="480" w:firstLineChars="2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雨城区凤鸣垃圾填埋场永久性封场治理工程项目（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>渗滤液抽排</w:t>
      </w:r>
      <w:r>
        <w:rPr>
          <w:rFonts w:hint="eastAsia" w:ascii="宋体" w:hAnsi="宋体" w:eastAsia="宋体" w:cs="Times New Roman"/>
          <w:sz w:val="24"/>
          <w:szCs w:val="28"/>
          <w:u w:val="single"/>
          <w:lang w:val="en-US" w:eastAsia="zh-CN"/>
        </w:rPr>
        <w:t>井</w:t>
      </w:r>
      <w:r>
        <w:rPr>
          <w:rFonts w:hint="eastAsia" w:ascii="宋体" w:hAnsi="宋体" w:cs="Times New Roman"/>
          <w:sz w:val="24"/>
          <w:szCs w:val="28"/>
          <w:u w:val="single"/>
          <w:lang w:val="en-US" w:eastAsia="zh-CN"/>
        </w:rPr>
        <w:t>、</w:t>
      </w:r>
      <w:r>
        <w:rPr>
          <w:rFonts w:hint="eastAsia" w:ascii="宋体" w:hAnsi="宋体" w:eastAsia="宋体" w:cs="Times New Roman"/>
          <w:sz w:val="24"/>
          <w:szCs w:val="28"/>
          <w:u w:val="single"/>
          <w:lang w:val="en-US" w:eastAsia="zh-CN"/>
        </w:rPr>
        <w:t>填埋气集气井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-钻井</w:t>
      </w:r>
      <w:r>
        <w:rPr>
          <w:rFonts w:hint="eastAsia" w:ascii="宋体" w:hAnsi="宋体" w:eastAsia="宋体"/>
          <w:sz w:val="24"/>
          <w:szCs w:val="28"/>
          <w:u w:val="single"/>
          <w:lang w:eastAsia="zh-CN"/>
        </w:rPr>
        <w:t>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雨城区凤鸣垃圾填埋场永久性封场治理工程项目（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渗滤液抽排井-钻井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聂旻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18981625883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渗滤液抽排井5座、</w:t>
            </w:r>
            <w:r>
              <w:rPr>
                <w:rFonts w:hint="eastAsia" w:ascii="宋体" w:hAnsi="宋体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填埋气集气井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-暂定钻井140米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材料清单（报价表）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施工图纸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小于30日历天。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</w:rPr>
              <w:t>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抽排井旋挖钻井</w:t>
            </w:r>
            <w:r>
              <w:rPr>
                <w:rFonts w:hint="eastAsia" w:ascii="宋体" w:hAnsi="宋体" w:cs="宋体"/>
                <w:lang w:val="en-US" w:eastAsia="zh-CN"/>
              </w:rPr>
              <w:t>施工能力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二、其他要求：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（2）具有良好的商业信誉和健全的财务会计制度；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（3）具有履行合同所必需的设备和专业技术能力；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（7）省外注册企业提供有效的《四川省省外建筑企业入川承揽业务验证登记证》或带二维码的《四川省省外施工、监理入川承揽业务信息录入证》；</w:t>
            </w:r>
          </w:p>
          <w:p>
            <w:pPr>
              <w:adjustRightInd w:val="0"/>
              <w:snapToGrid w:val="0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（8）本项目参加招投标活动的投标人在前三年内不得具有行贿犯罪记录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1.最高限价：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133200.00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大写：壹拾叁万叁仟贰佰</w:t>
            </w:r>
          </w:p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3.报价单组成：（1）报价函；（2）营业执照盖鲜章；（3）法人授权书；（4）法人身份证复印件盖鲜章；（5）授权委托人身份证复印件盖鲜章；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无预付款；乙方施工完成后经甲方验收、检测合格后支付至合同总额100%。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各方应秉承公开、公平、公正的原则参与本次报价，过程如有围标、串标、陪标、行贿等不廉洁行为发生，雅安城市建设投资开发有限公司将按照下列规定处理：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96"/>
        <w:gridCol w:w="2183"/>
        <w:gridCol w:w="1092"/>
        <w:gridCol w:w="1092"/>
        <w:gridCol w:w="828"/>
        <w:gridCol w:w="756"/>
        <w:gridCol w:w="745"/>
        <w:gridCol w:w="864"/>
        <w:gridCol w:w="1416"/>
      </w:tblGrid>
      <w:tr>
        <w:trPr>
          <w:trHeight w:val="6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含税控制单价（元）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含税报价总价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含税报价单价（元）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含税报价总价价（元）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渗滤液抽排井、填埋气集气井钻井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1、严格按照施工图及设计要求进行施工钻井，施工符合规范及设计要求。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施工进场前</w:t>
            </w:r>
            <w:r>
              <w:rPr>
                <w:rFonts w:hint="eastAsia"/>
              </w:rPr>
              <w:t>要向甲方提供拟进场</w:t>
            </w:r>
            <w:r>
              <w:rPr>
                <w:rFonts w:hint="eastAsia"/>
                <w:lang w:val="en-US" w:eastAsia="zh-CN"/>
              </w:rPr>
              <w:t>机械设备</w:t>
            </w:r>
            <w:r>
              <w:rPr>
                <w:rFonts w:hint="eastAsia"/>
              </w:rPr>
              <w:t>相关资料，经甲方检查，确认符合设计要求后，才能进场。进场后，必须及时向甲方报验，经检查合格后，才能施工。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甲方提供吊车、挖机配合及2公分钢板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4.电力不提供,自行考虑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5.甲方提供水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84000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以实际工程量为准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护筒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壁厚10厚，直径110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42600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以实际工程量为准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机械进出场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旋挖机等机械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总价</w:t>
            </w:r>
          </w:p>
        </w:tc>
        <w:tc>
          <w:tcPr>
            <w:tcW w:w="6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133200.00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提供增值税专用发票</w:t>
            </w:r>
          </w:p>
        </w:tc>
        <w:tc>
          <w:tcPr>
            <w:tcW w:w="6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税率：_____%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6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说明：1）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报价不得高于控制价；</w:t>
      </w:r>
      <w:r>
        <w:rPr>
          <w:rFonts w:hint="eastAsia" w:ascii="宋体" w:hAnsi="宋体" w:eastAsia="宋体" w:cs="Times New Roman"/>
          <w:color w:val="C00000"/>
          <w:sz w:val="24"/>
        </w:rPr>
        <w:t>报价注明税率</w:t>
      </w:r>
      <w:r>
        <w:rPr>
          <w:rFonts w:hint="eastAsia" w:ascii="宋体" w:hAnsi="宋体" w:eastAsia="宋体" w:cs="Times New Roman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3)报价为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单价</w:t>
      </w:r>
      <w:r>
        <w:rPr>
          <w:rFonts w:hint="eastAsia" w:ascii="宋体" w:hAnsi="宋体" w:eastAsia="宋体" w:cs="Times New Roman"/>
          <w:color w:val="000000"/>
          <w:sz w:val="24"/>
        </w:rPr>
        <w:t>包干价，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包含人工费、仪表费、辅助工具费、设备燃油费（自备柴油发电机）、管理费、利润、税费、安全措施费、临设费、材料和机具的二次及多次转运费、工伤保险、意外保险、安全风险费、人员食宿及交通费等完成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钻井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并通过验收所发生的全部费用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bookmarkStart w:id="2" w:name="_GoBack"/>
      <w:bookmarkEnd w:id="2"/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rPr>
          <w:rFonts w:hint="default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95BFB6B"/>
    <w:multiLevelType w:val="singleLevel"/>
    <w:tmpl w:val="595BF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B61144B"/>
    <w:rsid w:val="0C2661F0"/>
    <w:rsid w:val="0C981349"/>
    <w:rsid w:val="0E1409F6"/>
    <w:rsid w:val="0F8E6586"/>
    <w:rsid w:val="0FD07A86"/>
    <w:rsid w:val="10EA595B"/>
    <w:rsid w:val="110A1AD5"/>
    <w:rsid w:val="111D5E14"/>
    <w:rsid w:val="11E50982"/>
    <w:rsid w:val="12883830"/>
    <w:rsid w:val="12FC4EED"/>
    <w:rsid w:val="13383ED1"/>
    <w:rsid w:val="134C5F05"/>
    <w:rsid w:val="15AE2336"/>
    <w:rsid w:val="16831E2E"/>
    <w:rsid w:val="180541EC"/>
    <w:rsid w:val="197C5011"/>
    <w:rsid w:val="198868B7"/>
    <w:rsid w:val="1A7B08FD"/>
    <w:rsid w:val="1B3D593A"/>
    <w:rsid w:val="1DCD235C"/>
    <w:rsid w:val="1F2D130A"/>
    <w:rsid w:val="20132210"/>
    <w:rsid w:val="24030E99"/>
    <w:rsid w:val="243C11B9"/>
    <w:rsid w:val="24E87A6B"/>
    <w:rsid w:val="25495507"/>
    <w:rsid w:val="25E92311"/>
    <w:rsid w:val="274C096F"/>
    <w:rsid w:val="29774FFB"/>
    <w:rsid w:val="2A723D83"/>
    <w:rsid w:val="2AF75BDF"/>
    <w:rsid w:val="2BB626E2"/>
    <w:rsid w:val="2C875615"/>
    <w:rsid w:val="2E2C0D2A"/>
    <w:rsid w:val="2F8A3126"/>
    <w:rsid w:val="30C74C2C"/>
    <w:rsid w:val="31D240C7"/>
    <w:rsid w:val="31ED533C"/>
    <w:rsid w:val="3251489B"/>
    <w:rsid w:val="34545E59"/>
    <w:rsid w:val="36590DED"/>
    <w:rsid w:val="36F611F4"/>
    <w:rsid w:val="373E6C5C"/>
    <w:rsid w:val="376C7BDD"/>
    <w:rsid w:val="37F66F05"/>
    <w:rsid w:val="37FC514B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AD4B33"/>
    <w:rsid w:val="3EFA2EAE"/>
    <w:rsid w:val="40BD4320"/>
    <w:rsid w:val="43532873"/>
    <w:rsid w:val="437B05F4"/>
    <w:rsid w:val="438D76F7"/>
    <w:rsid w:val="43A25880"/>
    <w:rsid w:val="43B1111A"/>
    <w:rsid w:val="45221A0F"/>
    <w:rsid w:val="46866FE1"/>
    <w:rsid w:val="478B2DD0"/>
    <w:rsid w:val="495A5744"/>
    <w:rsid w:val="4A64571C"/>
    <w:rsid w:val="4AE27FBA"/>
    <w:rsid w:val="4AF33D5A"/>
    <w:rsid w:val="4BAC0EB9"/>
    <w:rsid w:val="4E706335"/>
    <w:rsid w:val="4EBB2A81"/>
    <w:rsid w:val="4F524F2E"/>
    <w:rsid w:val="4F62413A"/>
    <w:rsid w:val="5012604A"/>
    <w:rsid w:val="50391D4C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41389F"/>
    <w:rsid w:val="5C5F632A"/>
    <w:rsid w:val="5E3434B0"/>
    <w:rsid w:val="5E374FC6"/>
    <w:rsid w:val="5E9D4A3C"/>
    <w:rsid w:val="5F5247ED"/>
    <w:rsid w:val="5F8A26CE"/>
    <w:rsid w:val="60AC6089"/>
    <w:rsid w:val="625E20AA"/>
    <w:rsid w:val="63E458EA"/>
    <w:rsid w:val="65332685"/>
    <w:rsid w:val="656942F9"/>
    <w:rsid w:val="65EF4692"/>
    <w:rsid w:val="662B7F6E"/>
    <w:rsid w:val="67073DC9"/>
    <w:rsid w:val="671477D9"/>
    <w:rsid w:val="681273DF"/>
    <w:rsid w:val="69CA0E37"/>
    <w:rsid w:val="6A885221"/>
    <w:rsid w:val="6AD811B4"/>
    <w:rsid w:val="6B701761"/>
    <w:rsid w:val="6B7D454F"/>
    <w:rsid w:val="6C1C4838"/>
    <w:rsid w:val="6C833956"/>
    <w:rsid w:val="6D850292"/>
    <w:rsid w:val="6E675169"/>
    <w:rsid w:val="6F1A10C8"/>
    <w:rsid w:val="6F6F7560"/>
    <w:rsid w:val="6FD50F8F"/>
    <w:rsid w:val="7217328A"/>
    <w:rsid w:val="724D5C61"/>
    <w:rsid w:val="7268538D"/>
    <w:rsid w:val="72904241"/>
    <w:rsid w:val="732007C0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1990</Words>
  <Characters>2083</Characters>
  <Lines>16</Lines>
  <Paragraphs>4</Paragraphs>
  <TotalTime>7</TotalTime>
  <ScaleCrop>false</ScaleCrop>
  <LinksUpToDate>false</LinksUpToDate>
  <CharactersWithSpaces>2488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用烟记念曾经</cp:lastModifiedBy>
  <cp:lastPrinted>2020-11-02T09:19:00Z</cp:lastPrinted>
  <dcterms:modified xsi:type="dcterms:W3CDTF">2022-05-06T09:03:54Z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7F83146A4435421D8A30E6566D20061C</vt:lpwstr>
  </property>
</Properties>
</file>